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color w:val="C2185B"/><w:sz w:val="18"/><w:szCs w:val="18"/><w:b w:val="1"/><w:bCs w:val="1"/></w:rPr><w:t xml:space="preserve">Kategori: Quality Control</w:t></w:r></w:p><w:p><w:pPr><w:jc w:val="center"/><w:spacing w:after="100"/></w:pPr><w:r><w:rPr><w:color w:val="1A2744"/><w:sz w:val="36"/><w:szCs w:val="36"/><w:b w:val="1"/><w:bCs w:val="1"/></w:rPr><w:t xml:space="preserve">KPI Process Capability Index (Cpk)</w:t></w:r></w:p><w:p><w:pPr><w:jc w:val="center"/></w:pPr><w:r><w:rPr><w:color w:val="4B5563"/><w:i w:val="1"/><w:iCs w:val="1"/></w:rPr><w:t xml:space="preserve">Indeks kemampuan proses memenuhi spesifikasi (memperhatikan centering).</w:t></w:r></w:p><w:p/><w:tbl><w:tblGrid><w:gridCol w:w="2800" w:type="dxa"/><w:gridCol w:w="62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Rumus</w:t></w:r></w:p></w:tc><w:tc><w:tcPr><w:tcW w:w="6200" w:type="dxa"/><w:vAlign w:val="top"/><w:noWrap/></w:tcPr><w:p><w:pPr/><w:r><w:rPr><w:color w:val="1A2744"/><w:b w:val="1"/><w:bCs w:val="1"/></w:rPr><w:t xml:space="preserve">min((USL−μ)/(3σ), (μ−LSL)/(3σ))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Satuan</w:t></w:r></w:p></w:tc><w:tc><w:tcPr><w:tcW w:w="6200" w:type="dxa"/><w:vAlign w:val="top"/><w:noWrap/></w:tcPr><w:p><w:pPr/><w:r><w:rPr><w:color w:val="1A2744"/><w:b w:val="1"/><w:bCs w:val="1"/></w:rPr><w:t xml:space="preserve">Indeks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Frekuensi</w:t></w:r></w:p></w:tc><w:tc><w:tcPr><w:tcW w:w="6200" w:type="dxa"/><w:vAlign w:val="top"/><w:noWrap/></w:tcPr><w:p><w:pPr/><w:r><w:rPr><w:color w:val="1A2744"/><w:b w:val="1"/><w:bCs w:val="1"/></w:rPr><w:t xml:space="preserve">Per produksi run / SPC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Target</w:t></w:r></w:p></w:tc><w:tc><w:tcPr><w:tcW w:w="6200" w:type="dxa"/><w:vAlign w:val="top"/><w:noWrap/></w:tcPr><w:p><w:pPr/><w:r><w:rPr><w:color w:val="1A2744"/><w:b w:val="1"/><w:bCs w:val="1"/></w:rPr><w:t xml:space="preserve">≥ 1.33 (capable), ≥ 1.67 (excellent)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Penanggung Jawab</w:t></w:r></w:p></w:tc><w:tc><w:tcPr><w:tcW w:w="6200" w:type="dxa"/><w:vAlign w:val="top"/><w:noWrap/></w:tcPr><w:p><w:pPr/><w:r><w:rPr><w:color w:val="1A2744"/><w:b w:val="1"/><w:bCs w:val="1"/></w:rPr><w:t xml:space="preserve">Process Engineer / Quality Engineer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Sumber Data</w:t></w:r></w:p></w:tc><w:tc><w:tcPr><w:tcW w:w="6200" w:type="dxa"/><w:vAlign w:val="top"/><w:noWrap/></w:tcPr><w:p><w:pPr/><w:r><w:rPr><w:color w:val="1A2744"/><w:b w:val="1"/><w:bCs w:val="1"/></w:rPr><w:t xml:space="preserve">QMS (Quality Management System), inspection log, SPC software, customer complaint tracker</w:t></w:r></w:p></w:tc></w:tr></w:tbl><w:p/><w:p><w:pPr/><w:r><w:rPr><w:color w:val="1A2744"/><w:sz w:val="28"/><w:szCs w:val="28"/><w:b w:val="1"/><w:bCs w:val="1"/></w:rPr><w:t xml:space="preserve">Definisi & Konteks</w:t></w:r></w:p><w:p><w:pPr/><w:r><w:rPr/><w:t xml:space="preserve">Cpk mengukur kapabilitas proses statistik vs spec limit, sambil memperhitungkan deviasi mean dari target. Cpk = 1.33 dianggap "capable"; 1.67+ "excellent". Berbeda dengan Cp (yang tidak memperhitungkan centering).</w:t></w:r></w:p><w:p/><w:p><w:pPr/><w:r><w:rPr><w:color w:val="1A2744"/><w:sz w:val="28"/><w:szCs w:val="28"/><w:b w:val="1"/><w:bCs w:val="1"/></w:rPr><w:t xml:space="preserve">Mengapa KPI Ini Penting</w:t></w:r></w:p><w:p><w:pPr><w:numPr><w:ilvl w:val="0"/><w:numId w:val="1"/></w:numPr></w:pPr><w:r><w:rPr/><w:t xml:space="preserve">Memastikan produk / output memenuhi spesifikasi pelanggan dan standar kualitas internal.</w:t></w:r></w:p><w:p><w:pPr><w:numPr><w:ilvl w:val="0"/><w:numId w:val="1"/></w:numPr></w:pPr><w:r><w:rPr/><w:t xml:space="preserve">Mengurangi cost of poor quality: rework, scrap, warranty claim, recall, customer complaint.</w:t></w:r></w:p><w:p><w:pPr><w:numPr><w:ilvl w:val="0"/><w:numId w:val="1"/></w:numPr></w:pPr><w:r><w:rPr/><w:t xml:space="preserve">Wajib untuk sertifikasi ISO 9001, IATF 16949, ISO 13485, GMP, dan audit pelanggan.</w:t></w:r></w:p><w:p><w:pPr><w:numPr><w:ilvl w:val="0"/><w:numId w:val="1"/></w:numPr></w:pPr><w:r><w:rPr/><w:t xml:space="preserve">Bahan supplier scorecard, pricing negotiation, dan continuous improvement (Six Sigma, Lean).</w:t></w:r></w:p><w:p/><w:p><w:pPr/><w:r><w:rPr><w:color w:val="1A2744"/><w:sz w:val="28"/><w:szCs w:val="28"/><w:b w:val="1"/><w:bCs w:val="1"/></w:rPr><w:t xml:space="preserve">Cara Menghitung</w:t></w:r></w:p><w:p><w:pPr><w:numPr><w:ilvl w:val="0"/><w:numId w:val="1"/></w:numPr></w:pPr><w:r><w:rPr/><w:t xml:space="preserve">Kumpulkan data sumber untuk periode pengukuran (Per produksi run / SPC). Pastikan dari sistem otoritatif, bukan rekap manual.</w:t></w:r></w:p><w:p><w:pPr><w:numPr><w:ilvl w:val="0"/><w:numId w:val="1"/></w:numPr></w:pPr><w:r><w:rPr/><w:t xml:space="preserve">Validasi kelengkapan dan akurasi data — buang outlier akibat kesalahan input atau periode tidak penuh.</w:t></w:r></w:p><w:p><w:pPr><w:numPr><w:ilvl w:val="0"/><w:numId w:val="1"/></w:numPr></w:pPr><w:r><w:rPr/><w:t xml:space="preserve">Hitung dengan rumus: min((USL−μ)/(3σ), (μ−LSL)/(3σ)).</w:t></w:r></w:p><w:p><w:pPr><w:numPr><w:ilvl w:val="0"/><w:numId w:val="1"/></w:numPr></w:pPr><w:r><w:rPr/><w:t xml:space="preserve">Bandingkan hasil dengan target ≥ 1.33 (capable), ≥ 1.67 (excellent) dan periode sebelumnya untuk lihat trend.</w:t></w:r></w:p><w:p><w:pPr><w:numPr><w:ilvl w:val="0"/><w:numId w:val="1"/></w:numPr></w:pPr><w:r><w:rPr/><w:t xml:space="preserve">Dokumentasikan di dashboard KPI dan komunikasikan ke pemangku kepentingan dalam rapat rutin.</w:t></w:r></w:p><w:p/><w:p><w:pPr/><w:r><w:rPr><w:color w:val="1A2744"/><w:sz w:val="24"/><w:szCs w:val="24"/><w:b w:val="1"/><w:bCs w:val="1"/></w:rPr><w:t xml:space="preserve">Contoh Kalkulasi</w:t></w:r></w:p><w:p><w:pPr/><w:r><w:rPr/><w:t xml:space="preserve">Substitusikan nilai aktual periode pengukuran ke rumus. Bandingkan hasil dengan target ≥ 1.33 (capable), ≥ 1.67 (excellent) dan periode sebelumnya untuk melihat trend.</w:t></w:r></w:p><w:p/><w:p><w:pPr/><w:r><w:rPr><w:color w:val="1A2744"/><w:sz w:val="28"/><w:szCs w:val="28"/><w:b w:val="1"/><w:bCs w:val="1"/></w:rPr><w:t xml:space="preserve">Interpretasi Hasil</w:t></w:r></w:p><w:tbl><w:tblGrid><w:gridCol w:w="1800" w:type="dxa"/><w:gridCol w:w="3700" w:type="dxa"/><w:gridCol w:w="35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1800" w:type="dxa"/><w:vAlign w:val="center"/><w:noWrap/></w:tcPr><w:p><w:pPr/><w:r><w:rPr><w:b w:val="1"/><w:bCs w:val="1"/><w:shd w:val="clear" w:fill="FCE4EC"/></w:rPr><w:t xml:space="preserve">Status</w:t></w:r></w:p></w:tc><w:tc><w:tcPr><w:tcW w:w="3700" w:type="dxa"/><w:vAlign w:val="center"/><w:noWrap/></w:tcPr><w:p><w:pPr/><w:r><w:rPr><w:b w:val="1"/><w:bCs w:val="1"/><w:shd w:val="clear" w:fill="FCE4EC"/></w:rPr><w:t xml:space="preserve">Apa yang Berarti</w:t></w:r></w:p></w:tc><w:tc><w:tcPr><w:tcW w:w="3500" w:type="dxa"/><w:vAlign w:val="center"/><w:noWrap/></w:tcPr><w:p><w:pPr/><w:r><w:rPr><w:b w:val="1"/><w:bCs w:val="1"/><w:shd w:val="clear" w:fill="FCE4EC"/></w:rPr><w:t xml:space="preserve">Tindakan Singkat</w:t></w:r></w:p></w:tc></w:tr><w:tr><w:trPr/><w:tc><w:tcPr><w:tcW w:w="1800" w:type="dxa"/><w:vAlign w:val="center"/><w:shd w:val="clear" w:fill="FEE2E2"/><w:noWrap/></w:tcPr><w:p><w:pPr/><w:r><w:rPr><w:color w:val="991B1B"/><w:b w:val="1"/><w:bCs w:val="1"/></w:rPr><w:t xml:space="preserve">Off-target</w:t></w:r></w:p></w:tc><w:tc><w:tcPr><w:tcW w:w="3700" w:type="dxa"/><w:vAlign w:val="top"/><w:noWrap/></w:tcPr><w:p><w:pPr/><w:r><w:rPr/><w:t xml:space="preserve">Hasil di luar target (≥ 1.33 (capable), ≥ 1.67 (excellent)). Trend memburuk atau jauh dari standar industri.</w:t></w:r></w:p></w:tc><w:tc><w:tcPr><w:tcW w:w="3500" w:type="dxa"/><w:vAlign w:val="top"/><w:noWrap/></w:tcPr><w:p><w:pPr/><w:r><w:rPr/><w:t xml:space="preserve">Aktifkan root cause analysis. Stop kampanye / proses jika dampak material. Eskalasi ke pemangku kepentingan.</w:t></w:r></w:p></w:tc></w:tr><w:tr><w:trPr/><w:tc><w:tcPr><w:tcW w:w="1800" w:type="dxa"/><w:vAlign w:val="center"/><w:shd w:val="clear" w:fill="FEF3C7"/><w:noWrap/></w:tcPr><w:p><w:pPr/><w:r><w:rPr><w:color w:val="92400E"/><w:b w:val="1"/><w:bCs w:val="1"/></w:rPr><w:t xml:space="preserve">Borderline</w:t></w:r></w:p></w:tc><w:tc><w:tcPr><w:tcW w:w="3700" w:type="dxa"/><w:vAlign w:val="top"/><w:noWrap/></w:tcPr><w:p><w:pPr/><w:r><w:rPr/><w:t xml:space="preserve">Hasil dekat target, tapi trend tidak konsisten — risk-off setiap saat.</w:t></w:r></w:p></w:tc><w:tc><w:tcPr><w:tcW w:w="3500" w:type="dxa"/><w:vAlign w:val="top"/><w:noWrap/></w:tcPr><w:p><w:pPr/><w:r><w:rPr/><w:t xml:space="preserve">Identifikasi 2–3 driver utama. Lakukan perbaikan iteratif sebelum jadi off-target permanen.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On-target</w:t></w:r></w:p></w:tc><w:tc><w:tcPr><w:tcW w:w="3700" w:type="dxa"/><w:vAlign w:val="top"/><w:noWrap/></w:tcPr><w:p><w:pPr/><w:r><w:rPr/><w:t xml:space="preserve">Hasil memenuhi target (≥ 1.33 (capable), ≥ 1.67 (excellent)). Trend stabil atau membaik.</w:t></w:r></w:p></w:tc><w:tc><w:tcPr><w:tcW w:w="3500" w:type="dxa"/><w:vAlign w:val="top"/><w:noWrap/></w:tcPr><w:p><w:pPr/><w:r><w:rPr/><w:t xml:space="preserve">Pertahankan praktik baik. Dokumentasikan SOP dan transfer ke unit / shift lain.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Excellent</w:t></w:r></w:p></w:tc><w:tc><w:tcPr><w:tcW w:w="3700" w:type="dxa"/><w:vAlign w:val="top"/><w:noWrap/></w:tcPr><w:p><w:pPr/><w:r><w:rPr/><w:t xml:space="preserve">Hasil konsisten melampaui target. Trend positif berlanjut.</w:t></w:r></w:p></w:tc><w:tc><w:tcPr><w:tcW w:w="3500" w:type="dxa"/><w:vAlign w:val="top"/><w:noWrap/></w:tcPr><w:p><w:pPr/><w:r><w:rPr/><w:t xml:space="preserve">Bagikan praktik baik sebagai best practice internal. Pertimbangkan stretch target.</w:t></w:r></w:p></w:tc></w:tr></w:tbl><w:p/><w:p><w:pPr/><w:r><w:rPr><w:color w:val="1A2744"/><w:sz w:val="28"/><w:szCs w:val="28"/><w:b w:val="1"/><w:bCs w:val="1"/></w:rPr><w:t xml:space="preserve">Variasi Pengukuran & Best Practice</w:t></w:r></w:p><w:tbl><w:tblGrid><w:gridCol w:w="2700" w:type="dxa"/><w:gridCol w:w="63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700" w:type="dxa"/><w:vAlign w:val="center"/><w:noWrap/></w:tcPr><w:p><w:pPr/><w:r><w:rPr><w:b w:val="1"/><w:bCs w:val="1"/><w:shd w:val="clear" w:fill="FCE4EC"/></w:rPr><w:t xml:space="preserve">Dimensi</w:t></w:r></w:p></w:tc><w:tc><w:tcPr><w:tcW w:w="6300" w:type="dxa"/><w:vAlign w:val="center"/><w:noWrap/></w:tcPr><w:p><w:pPr/><w:r><w:rPr><w:b w:val="1"/><w:bCs w:val="1"/><w:shd w:val="clear" w:fill="FCE4EC"/></w:rPr><w:t xml:space="preserve">Mengapa Berguna</w:t></w:r></w:p></w:tc></w:tr><w:tr><w:trPr/><w:tc><w:tcPr><w:tcW w:w="2700" w:type="dxa"/><w:vAlign w:val="top"/><w:noWrap/></w:tcPr><w:p><w:pPr/><w:r><w:rPr><w:b w:val="1"/><w:bCs w:val="1"/></w:rPr><w:t xml:space="preserve">Per Lini Produksi</w:t></w:r></w:p></w:tc><w:tc><w:tcPr><w:tcW w:w="6300" w:type="dxa"/><w:vAlign w:val="top"/><w:noWrap/></w:tcPr><w:p><w:pPr/><w:r><w:rPr/><w:t xml:space="preserve">Setiap lini punya proses & risiko berbeda. Tracking per lini wajib untuk root cause.</w:t></w:r></w:p></w:tc></w:tr><w:tr><w:trPr/><w:tc><w:tcPr><w:tcW w:w="2700" w:type="dxa"/><w:vAlign w:val="top"/><w:noWrap/></w:tcPr><w:p><w:pPr/><w:r><w:rPr><w:b w:val="1"/><w:bCs w:val="1"/></w:rPr><w:t xml:space="preserve">Per Komponen / Material</w:t></w:r></w:p></w:tc><w:tc><w:tcPr><w:tcW w:w="6300" w:type="dxa"/><w:vAlign w:val="top"/><w:noWrap/></w:tcPr><w:p><w:pPr/><w:r><w:rPr/><w:t xml:space="preserve">Kualitas masuk dari supplier vs proses internal — perlu dipisah.</w:t></w:r></w:p></w:tc></w:tr><w:tr><w:trPr/><w:tc><w:tcPr><w:tcW w:w="2700" w:type="dxa"/><w:vAlign w:val="top"/><w:noWrap/></w:tcPr><w:p><w:pPr/><w:r><w:rPr><w:b w:val="1"/><w:bCs w:val="1"/></w:rPr><w:t xml:space="preserve">Per Tipe Defect</w:t></w:r></w:p></w:tc><w:tc><w:tcPr><w:tcW w:w="6300" w:type="dxa"/><w:vAlign w:val="top"/><w:noWrap/></w:tcPr><w:p><w:pPr/><w:r><w:rPr/><w:t xml:space="preserve">Pareto chart 80/20 untuk fokus continuous improvement ke few vital.</w:t></w:r></w:p></w:tc></w:tr><w:tr><w:trPr/><w:tc><w:tcPr><w:tcW w:w="2700" w:type="dxa"/><w:vAlign w:val="top"/><w:noWrap/></w:tcPr><w:p><w:pPr/><w:r><w:rPr><w:b w:val="1"/><w:bCs w:val="1"/></w:rPr><w:t xml:space="preserve">Internal vs Customer Complaint</w:t></w:r></w:p></w:tc><w:tc><w:tcPr><w:tcW w:w="6300" w:type="dxa"/><w:vAlign w:val="top"/><w:noWrap/></w:tcPr><w:p><w:pPr/><w:r><w:rPr/><w:t xml:space="preserve">Internal failure (rework) vs external failure (komplain) — strategi berbeda.</w:t></w:r></w:p></w:tc></w:tr></w:tbl><w:p/><w:p><w:pPr/><w:r><w:rPr><w:color w:val="1A2744"/><w:sz w:val="28"/><w:szCs w:val="28"/><w:b w:val="1"/><w:bCs w:val="1"/></w:rPr><w:t xml:space="preserve">Kesalahan Umum & Solusinya</w:t></w:r></w:p><w:tbl><w:tblGrid><w:gridCol w:w="4300" w:type="dxa"/><w:gridCol w:w="47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4300" w:type="dxa"/><w:vAlign w:val="center"/><w:noWrap/></w:tcPr><w:p><w:pPr/><w:r><w:rPr><w:b w:val="1"/><w:bCs w:val="1"/><w:shd w:val="clear" w:fill="FCE4EC"/></w:rPr><w:t xml:space="preserve">Kesalahan</w:t></w:r></w:p></w:tc><w:tc><w:tcPr><w:tcW w:w="4700" w:type="dxa"/><w:vAlign w:val="center"/><w:noWrap/></w:tcPr><w:p><w:pPr/><w:r><w:rPr><w:b w:val="1"/><w:bCs w:val="1"/><w:shd w:val="clear" w:fill="FCE4EC"/></w:rPr><w:t xml:space="preserve">Solusi</w:t></w:r></w:p></w:tc></w:tr><w:tr><w:trPr/><w:tc><w:tcPr><w:tcW w:w="4300" w:type="dxa"/><w:vAlign w:val="top"/><w:noWrap/></w:tcPr><w:p><w:pPr/><w:r><w:rPr/><w:t xml:space="preserve">QC hanya di end-of-line — defect sudah jadi</w:t></w:r></w:p></w:tc><w:tc><w:tcPr><w:tcW w:w="4700" w:type="dxa"/><w:vAlign w:val="top"/><w:noWrap/></w:tcPr><w:p><w:pPr/><w:r><w:rPr/><w:t xml:space="preserve">Tambah in-process quality check (built-in quality, jidoka).</w:t></w:r></w:p></w:tc></w:tr><w:tr><w:trPr/><w:tc><w:tcPr><w:tcW w:w="4300" w:type="dxa"/><w:vAlign w:val="top"/><w:noWrap/></w:tcPr><w:p><w:pPr/><w:r><w:rPr/><w:t xml:space="preserve">Sampling plan ad-hoc, tidak statistical</w:t></w:r></w:p></w:tc><w:tc><w:tcPr><w:tcW w:w="4700" w:type="dxa"/><w:vAlign w:val="top"/><w:noWrap/></w:tcPr><w:p><w:pPr/><w:r><w:rPr/><w:t xml:space="preserve">Pakai AQL standard (ISO 2859) atau SPC untuk sampling.</w:t></w:r></w:p></w:tc></w:tr><w:tr><w:trPr/><w:tc><w:tcPr><w:tcW w:w="4300" w:type="dxa"/><w:vAlign w:val="top"/><w:noWrap/></w:tcPr><w:p><w:pPr/><w:r><w:rPr/><w:t xml:space="preserve">Pareto chart tidak dipakai — kerja banyak, dampak kecil</w:t></w:r></w:p></w:tc><w:tc><w:tcPr><w:tcW w:w="4700" w:type="dxa"/><w:vAlign w:val="top"/><w:noWrap/></w:tcPr><w:p><w:pPr/><w:r><w:rPr/><w:t xml:space="preserve">Fokus 80/20: 20% defect causes ~ 80% biaya kualitas.</w:t></w:r></w:p></w:tc></w:tr><w:tr><w:trPr/><w:tc><w:tcPr><w:tcW w:w="4300" w:type="dxa"/><w:vAlign w:val="top"/><w:noWrap/></w:tcPr><w:p><w:pPr/><w:r><w:rPr/><w:t xml:space="preserve">Supplier quality tidak terkait pricing</w:t></w:r></w:p></w:tc><w:tc><w:tcPr><w:tcW w:w="4700" w:type="dxa"/><w:vAlign w:val="top"/><w:noWrap/></w:tcPr><w:p><w:pPr/><w:r><w:rPr/><w:t xml:space="preserve">Tier supplier scorecard ke pricing — premium quality dapat preference.</w:t></w:r></w:p></w:tc></w:tr><w:tr><w:trPr/><w:tc><w:tcPr><w:tcW w:w="4300" w:type="dxa"/><w:vAlign w:val="top"/><w:noWrap/></w:tcPr><w:p><w:pPr/><w:r><w:rPr/><w:t xml:space="preserve">Customer complaint tidak feedback ke desain / proses</w:t></w:r></w:p></w:tc><w:tc><w:tcPr><w:tcW w:w="4700" w:type="dxa"/><w:vAlign w:val="top"/><w:noWrap/></w:tcPr><w:p><w:pPr/><w:r><w:rPr/><w:t xml:space="preserve">CAPA loop tertutup: complaint → 8D → desain / SOP update.</w:t></w:r></w:p></w:tc></w:tr></w:tbl><w:p/><w:p><w:pPr/><w:r><w:rPr><w:color w:val="1A2744"/><w:sz w:val="28"/><w:szCs w:val="28"/><w:b w:val="1"/><w:bCs w:val="1"/></w:rPr><w:t xml:space="preserve">Tindakan Berdasarkan Status</w:t></w:r></w:p><w:p><w:pPr><w:spacing w:before="80"/></w:pPr><w:r><w:rPr><w:color w:val="991B1B"/><w:b w:val="1"/><w:bCs w:val="1"/></w:rPr><w:t xml:space="preserve">Off-target  </w:t></w:r><w:r><w:rPr><w:color w:val="6B7280"/><w:i w:val="1"/><w:iCs w:val="1"/></w:rPr><w:t xml:space="preserve">Hasil di luar target / trend memburuk</w:t></w:r></w:p><w:p><w:pPr/><w:r><w:rPr/><w:t xml:space="preserve">Trigger containment action: hold lot, recall, customer notification jika sudah ke pelanggan. Inisiasi 8D / DMAIC project. Audit supplier yang berkontribusi.</w:t></w:r></w:p><w:p><w:pPr><w:spacing w:before="80"/></w:pPr><w:r><w:rPr><w:color w:val="92400E"/><w:b w:val="1"/><w:bCs w:val="1"/></w:rPr><w:t xml:space="preserve">Borderline  </w:t></w:r><w:r><w:rPr><w:color w:val="6B7280"/><w:i w:val="1"/><w:iCs w:val="1"/></w:rPr><w:t xml:space="preserve">Mendekati target, trend tidak konsisten</w:t></w:r></w:p><w:p><w:pPr/><w:r><w:rPr/><w:t xml:space="preserve">Update control plan, FMEA, dan SOP inspeksi. Refresh training operator pada spesifikasi terbaru. Verifikasi tooling kalibrasi dan gauge R&R.</w:t></w:r></w:p><w:p><w:pPr><w:spacing w:before="80"/></w:pPr><w:r><w:rPr><w:color w:val="166534"/><w:b w:val="1"/><w:bCs w:val="1"/></w:rPr><w:t xml:space="preserve">On-target / Excellent  </w:t></w:r><w:r><w:rPr><w:color w:val="6B7280"/><w:i w:val="1"/><w:iCs w:val="1"/></w:rPr><w:t xml:space="preserve">Memenuhi atau melampaui target</w:t></w:r></w:p><w:p><w:pPr/><w:r><w:rPr/><w:t xml:space="preserve">Konsolidasi quality system ke ISO 9001 / IATF 16949. Eksplor proactive quality (DOE, robust design) supaya defect tidak terjadi di proses awal.</w:t></w:r></w:p><w:p/><w:p><w:pPr/><w:r><w:rPr><w:color w:val="1A2744"/><w:sz w:val="28"/><w:szCs w:val="28"/><w:b w:val="1"/><w:bCs w:val="1"/></w:rPr><w:t xml:space="preserve">KPI Pendamping</w:t></w:r></w:p><w:p><w:pPr/><w:r><w:rPr/><w:t xml:space="preserve">KPI ini sebaiknya tidak berdiri sendiri. Padukan dengan KPI lain di kategori yang sama:</w:t></w:r></w:p><w:p><w:pPr/><w:r><w:rPr><w:color w:val="1A2744"/><w:b w:val="1"/><w:bCs w:val="1"/></w:rPr><w:t xml:space="preserve">KPI Defect Per Million Opportunities (DPMO)</w:t></w:r><w:r><w:rPr><w:color w:val="6B7280"/><w:sz w:val="18"/><w:szCs w:val="18"/></w:rPr><w:t xml:space="preserve"> — Jumlah defect per 1 juta peluang. Metrik utama Six Sigma.</w:t></w:r></w:p><w:p><w:pPr/><w:r><w:rPr><w:color w:val="1A2744"/><w:b w:val="1"/><w:bCs w:val="1"/></w:rPr><w:t xml:space="preserve">KPI Supplier Defect Rate (PPM)</w:t></w:r><w:r><w:rPr><w:color w:val="6B7280"/><w:sz w:val="18"/><w:szCs w:val="18"/></w:rPr><w:t xml:space="preserve"> — Tingkat defect dari supplier dalam parts per million.</w:t></w:r></w:p><w:p><w:pPr/><w:r><w:rPr><w:color w:val="1A2744"/><w:b w:val="1"/><w:bCs w:val="1"/></w:rPr><w:t xml:space="preserve">KPI Inspection Pass Rate</w:t></w:r><w:r><w:rPr><w:color w:val="6B7280"/><w:sz w:val="18"/><w:szCs w:val="18"/></w:rPr><w:t xml:space="preserve"> — Persentase produk lolos inspeksi QC pertama kali.</w:t></w:r></w:p><w:p><w:pPr/><w:r><w:rPr><w:color w:val="1A2744"/><w:b w:val="1"/><w:bCs w:val="1"/></w:rPr><w:t xml:space="preserve">KPI Customer Complaint Rate</w:t></w:r><w:r><w:rPr><w:color w:val="6B7280"/><w:sz w:val="18"/><w:szCs w:val="18"/></w:rPr><w:t xml:space="preserve"> — Tingkat komplain kualitas dari pelanggan dalam PPM.</w:t></w:r></w:p><w:p/><w:p><w:pPr/><w:r><w:rPr><w:color w:val="1A2744"/><w:sz w:val="28"/><w:szCs w:val="28"/><w:b w:val="1"/><w:bCs w:val="1"/></w:rPr><w:t xml:space="preserve">Checklist Implementasi</w:t></w:r></w:p><w:p><w:pPr><w:numPr><w:ilvl w:val="0"/><w:numId w:val="1"/></w:numPr></w:pPr><w:r><w:rPr/><w:t xml:space="preserve">Tetapkan baseline. Ukur 1–2 periode sebelum set target — jangan langsung set target ambisius tanpa tahu starting point.</w:t></w:r></w:p><w:p><w:pPr><w:numPr><w:ilvl w:val="0"/><w:numId w:val="1"/></w:numPr></w:pPr><w:r><w:rPr/><w:t xml:space="preserve">Definisikan formula tertulis. Tuliskan rumus, sumber data, exclusion rule di glossarium yang dapat diakses tim.</w:t></w:r></w:p><w:p><w:pPr><w:numPr><w:ilvl w:val="0"/><w:numId w:val="1"/></w:numPr></w:pPr><w:r><w:rPr/><w:t xml:space="preserve">Otomatisasi pengumpulan data. Manual entry = rentan error & delay. Pakai sistem sumber otoritatif dengan ETL / sync rutin.</w:t></w:r></w:p><w:p><w:pPr><w:numPr><w:ilvl w:val="0"/><w:numId w:val="1"/></w:numPr></w:pPr><w:r><w:rPr/><w:t xml:space="preserve">Set cadence review. Frekuensi pengukuran = Per produksi run / SPC. Pastikan ada slot rapat rutin untuk membahas hasil dan action plan.</w:t></w:r></w:p><w:p><w:pPr><w:numPr><w:ilvl w:val="0"/><w:numId w:val="1"/></w:numPr></w:pPr><w:r><w:rPr/><w:t xml:space="preserve">Action SLA. Setiap deviasi > threshold tertentu harus memicu action plan. Tanpa SLA = monitoring tanpa improvement.</w:t></w:r></w:p><w:p><w:pPr><w:numPr><w:ilvl w:val="0"/><w:numId w:val="1"/></w:numPr></w:pPr><w:r><w:rPr/><w:t xml:space="preserve">Komunikasikan ke tim. Bagikan hasil + tindakan yang akan diambil. Karyawan yang tahu konteks lebih engaged dan kolaboratif.</w:t></w:r></w:p><w:p><w:pPr><w:numPr><w:ilvl w:val="0"/><w:numId w:val="1"/></w:numPr></w:pPr><w:r><w:rPr/><w:t xml:space="preserve">Iterasi target tahunan. Target tahun lalu mungkin tidak relevan tahun ini. Adjust ke realitas bisnis saat strategic planning.</w:t></w:r></w:p><w:p/><w:p><w:pPr><w:spacing w:before="200"/></w:pPr><w:r><w:rPr><w:color w:val="701A75"/><w:i w:val="1"/><w:iCs w:val="1"/></w:rPr><w:t xml:space="preserve">Tools: Tools rekomendasi: Minitab / JMP untuk SPC & DOE. Excel + add-in untuk start. Quality management system (QMS): MasterControl, Veeva Vault, ETQ Reliance, atau Greenlight Guru (medical device). Integrasikan dengan MES untuk data real-time.</w:t></w:r></w:p><w:sectPr><w:footerReference w:type="default" r:id="rId7"/><w:pgSz w:orient="portrait" w:w="11905.511811023622" w:h="16837.79527559055"/><w:pgMar w:top="1134" w:right="1134" w:bottom="1134" w:left="1134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CA3AF"/>
        <w:sz w:val="16"/>
        <w:szCs w:val="16"/>
      </w:rPr>
      <w:t xml:space="preserve">KPI-0100 · 02/05/2026 · GajiHub KPI — kpi.gajihub.com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C360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2026-05-07T13:20:22+00:00</dcterms:created>
  <dcterms:modified xsi:type="dcterms:W3CDTF">2026-05-07T13:20:22+00:00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