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C2185B"/><w:sz w:val="18"/><w:szCs w:val="18"/><w:b w:val="1"/><w:bCs w:val="1"/></w:rPr><w:t xml:space="preserve">Kategori: Pemasaran</w:t></w:r></w:p><w:p><w:pPr><w:jc w:val="center"/><w:spacing w:after="100"/></w:pPr><w:r><w:rPr><w:color w:val="1A2744"/><w:sz w:val="36"/><w:szCs w:val="36"/><w:b w:val="1"/><w:bCs w:val="1"/></w:rPr><w:t xml:space="preserve">KPI Sales Quota Attainment</w:t></w:r></w:p><w:p><w:pPr><w:jc w:val="center"/></w:pPr><w:r><w:rPr><w:color w:val="4B5563"/><w:i w:val="1"/><w:iCs w:val="1"/></w:rPr><w:t xml:space="preserve">Persentase pencapaian target penjualan oleh tim sales sebagai indikator efektivitas dan produktivitas penjualan.</w:t></w:r></w:p><w:p/><w:tbl><w:tblGrid><w:gridCol w:w="2800" w:type="dxa"/><w:gridCol w:w="62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800" w:type="dxa"/><w:vAlign w:val="center"/><w:shd w:val="clear" w:fill="FFF1F5"/><w:noWrap/></w:tcPr><w:p><w:pPr/><w:r><w:rPr><w:color w:val="6B7280"/><w:sz w:val="20"/><w:szCs w:val="20"/><w:b w:val="1"/><w:bCs w:val="1"/></w:rPr><w:t xml:space="preserve">Rumus</w:t></w:r></w:p></w:tc><w:tc><w:tcPr><w:tcW w:w="6200" w:type="dxa"/><w:vAlign w:val="top"/><w:noWrap/></w:tcPr><w:p><w:pPr/><w:r><w:rPr><w:color w:val="1A2744"/><w:b w:val="1"/><w:bCs w:val="1"/></w:rPr><w:t xml:space="preserve">(Total Penjualan Aktual / Target Penjualan) × 100%</w:t></w:r></w:p></w:tc></w:tr><w:tr><w:trPr/><w:tc><w:tcPr><w:tcW w:w="2800" w:type="dxa"/><w:vAlign w:val="center"/><w:shd w:val="clear" w:fill="FFF1F5"/><w:noWrap/></w:tcPr><w:p><w:pPr/><w:r><w:rPr><w:color w:val="6B7280"/><w:sz w:val="20"/><w:szCs w:val="20"/><w:b w:val="1"/><w:bCs w:val="1"/></w:rPr><w:t xml:space="preserve">Satuan</w:t></w:r></w:p></w:tc><w:tc><w:tcPr><w:tcW w:w="6200" w:type="dxa"/><w:vAlign w:val="top"/><w:noWrap/></w:tcPr><w:p><w:pPr/><w:r><w:rPr><w:color w:val="1A2744"/><w:b w:val="1"/><w:bCs w:val="1"/></w:rPr><w:t xml:space="preserve">Persentase (%)</w:t></w:r></w:p></w:tc></w:tr><w:tr><w:trPr/><w:tc><w:tcPr><w:tcW w:w="2800" w:type="dxa"/><w:vAlign w:val="center"/><w:shd w:val="clear" w:fill="FFF1F5"/><w:noWrap/></w:tcPr><w:p><w:pPr/><w:r><w:rPr><w:color w:val="6B7280"/><w:sz w:val="20"/><w:szCs w:val="20"/><w:b w:val="1"/><w:bCs w:val="1"/></w:rPr><w:t xml:space="preserve">Frekuensi</w:t></w:r></w:p></w:tc><w:tc><w:tcPr><w:tcW w:w="6200" w:type="dxa"/><w:vAlign w:val="top"/><w:noWrap/></w:tcPr><w:p><w:pPr/><w:r><w:rPr><w:color w:val="1A2744"/><w:b w:val="1"/><w:bCs w:val="1"/></w:rPr><w:t xml:space="preserve">Bulanan dan Kuartalan</w:t></w:r></w:p></w:tc></w:tr><w:tr><w:trPr/><w:tc><w:tcPr><w:tcW w:w="2800" w:type="dxa"/><w:vAlign w:val="center"/><w:shd w:val="clear" w:fill="FFF1F5"/><w:noWrap/></w:tcPr><w:p><w:pPr/><w:r><w:rPr><w:color w:val="6B7280"/><w:sz w:val="20"/><w:szCs w:val="20"/><w:b w:val="1"/><w:bCs w:val="1"/></w:rPr><w:t xml:space="preserve">Target</w:t></w:r></w:p></w:tc><w:tc><w:tcPr><w:tcW w:w="6200" w:type="dxa"/><w:vAlign w:val="top"/><w:noWrap/></w:tcPr><w:p><w:pPr/><w:r><w:rPr><w:color w:val="1A2744"/><w:b w:val="1"/><w:bCs w:val="1"/></w:rPr><w:t xml:space="preserve">≥ 100% (Target Tercapai), 80–99% (Cukup), < 80% (Perlu Perbaikan)</w:t></w:r></w:p></w:tc></w:tr><w:tr><w:trPr/><w:tc><w:tcPr><w:tcW w:w="2800" w:type="dxa"/><w:vAlign w:val="center"/><w:shd w:val="clear" w:fill="FFF1F5"/><w:noWrap/></w:tcPr><w:p><w:pPr/><w:r><w:rPr><w:color w:val="6B7280"/><w:sz w:val="20"/><w:szCs w:val="20"/><w:b w:val="1"/><w:bCs w:val="1"/></w:rPr><w:t xml:space="preserve">Penanggung Jawab</w:t></w:r></w:p></w:tc><w:tc><w:tcPr><w:tcW w:w="6200" w:type="dxa"/><w:vAlign w:val="top"/><w:noWrap/></w:tcPr><w:p><w:pPr/><w:r><w:rPr><w:color w:val="1A2744"/><w:b w:val="1"/><w:bCs w:val="1"/></w:rPr><w:t xml:space="preserve">Sales Manager</w:t></w:r></w:p></w:tc></w:tr><w:tr><w:trPr/><w:tc><w:tcPr><w:tcW w:w="2800" w:type="dxa"/><w:vAlign w:val="center"/><w:shd w:val="clear" w:fill="FFF1F5"/><w:noWrap/></w:tcPr><w:p><w:pPr/><w:r><w:rPr><w:color w:val="6B7280"/><w:sz w:val="20"/><w:szCs w:val="20"/><w:b w:val="1"/><w:bCs w:val="1"/></w:rPr><w:t xml:space="preserve">Sumber Data</w:t></w:r></w:p></w:tc><w:tc><w:tcPr><w:tcW w:w="6200" w:type="dxa"/><w:vAlign w:val="top"/><w:noWrap/></w:tcPr><w:p><w:pPr/><w:r><w:rPr><w:color w:val="1A2744"/><w:b w:val="1"/><w:bCs w:val="1"/></w:rPr><w:t xml:space="preserve">Google Analytics, Meta Ads, ad platform, CRM, marketing automation</w:t></w:r></w:p></w:tc></w:tr></w:tbl><w:p/><w:p><w:pPr/><w:r><w:rPr><w:color w:val="1A2744"/><w:sz w:val="28"/><w:szCs w:val="28"/><w:b w:val="1"/><w:bCs w:val="1"/></w:rPr><w:t xml:space="preserve">Definisi & Konteks</w:t></w:r></w:p><w:p><w:pPr/><w:r><w:rPr/><w:t xml:space="preserve">Sales Quota Attainment adalah metrik yang mengukur persentase pencapaian target penjualan yang telah ditetapkan untuk individu atau tim sales dalam periode tertentu. KPI ini penting untuk menilai efektivitas strategi penjualan dan kinerja tim dalam mencapai target bisnis. Berbeda dari total penjualan absolut, Sales Quota Attainment fokus pada pencapaian sasaran yang telah disepakati sebelumnya, sehingga memberikan gambaran lebih akurat mengenai performa relatif sales terhadap target yang realistis dan terukur. Dengan demikian, KPI ini membantu perusahaan dalam melakukan evaluasi kinerja, penyesuaian strategi, dan memberikan insentif yang tepat kepada tim sales.</w:t></w:r></w:p><w:p/><w:p><w:pPr/><w:r><w:rPr><w:color w:val="1A2744"/><w:sz w:val="28"/><w:szCs w:val="28"/><w:b w:val="1"/><w:bCs w:val="1"/></w:rPr><w:t xml:space="preserve">Mengapa KPI Ini Penting</w:t></w:r></w:p><w:p><w:pPr><w:numPr><w:ilvl w:val="0"/><w:numId w:val="1"/></w:numPr></w:pPr><w:r><w:rPr/><w:t xml:space="preserve">Mengukur efektivitas budget marketing terhadap akuisisi customer dan revenue growth.</w:t></w:r></w:p><w:p><w:pPr><w:numPr><w:ilvl w:val="0"/><w:numId w:val="1"/></w:numPr></w:pPr><w:r><w:rPr/><w:t xml:space="preserve">Memungkinkan optimasi channel — pivot budget ke channel dengan ROAS / CPL terbaik.</w:t></w:r></w:p><w:p><w:pPr><w:numPr><w:ilvl w:val="0"/><w:numId w:val="1"/></w:numPr></w:pPr><w:r><w:rPr/><w:t xml:space="preserve">Indikator product-market fit dan positioning vs competitor & benchmark industri.</w:t></w:r></w:p><w:p><w:pPr><w:numPr><w:ilvl w:val="0"/><w:numId w:val="1"/></w:numPr></w:pPr><w:r><w:rPr/><w:t xml:space="preserve">Bahan komunikasi ke C-level: dampak nyata investasi marketing terhadap pipeline & pendapatan.</w:t></w:r></w:p><w:p/><w:p><w:pPr/><w:r><w:rPr><w:color w:val="1A2744"/><w:sz w:val="28"/><w:szCs w:val="28"/><w:b w:val="1"/><w:bCs w:val="1"/></w:rPr><w:t xml:space="preserve">Cara Menghitung</w:t></w:r></w:p><w:p><w:pPr><w:numPr><w:ilvl w:val="0"/><w:numId w:val="1"/></w:numPr></w:pPr><w:r><w:rPr/><w:t xml:space="preserve">Kumpulkan data sumber untuk periode pengukuran (Bulanan dan Kuartalan). Pastikan dari sistem otoritatif, bukan rekap manual.</w:t></w:r></w:p><w:p><w:pPr><w:numPr><w:ilvl w:val="0"/><w:numId w:val="1"/></w:numPr></w:pPr><w:r><w:rPr/><w:t xml:space="preserve">Validasi kelengkapan dan akurasi data — buang outlier akibat kesalahan input atau periode tidak penuh.</w:t></w:r></w:p><w:p><w:pPr><w:numPr><w:ilvl w:val="0"/><w:numId w:val="1"/></w:numPr></w:pPr><w:r><w:rPr/><w:t xml:space="preserve">Hitung dengan rumus: (Total Penjualan Aktual / Target Penjualan) × 100%.</w:t></w:r></w:p><w:p><w:pPr><w:numPr><w:ilvl w:val="0"/><w:numId w:val="1"/></w:numPr></w:pPr><w:r><w:rPr/><w:t xml:space="preserve">Bandingkan hasil dengan target ≥ 100% (Target Tercapai), 80–99% (Cukup), < 80% (Perlu Perbaikan) dan periode sebelumnya untuk lihat trend.</w:t></w:r></w:p><w:p><w:pPr><w:numPr><w:ilvl w:val="0"/><w:numId w:val="1"/></w:numPr></w:pPr><w:r><w:rPr/><w:t xml:space="preserve">Dokumentasikan di dashboard KPI dan komunikasikan ke pemangku kepentingan dalam rapat rutin.</w:t></w:r></w:p><w:p/><w:p><w:pPr/><w:r><w:rPr><w:color w:val="1A2744"/><w:sz w:val="24"/><w:szCs w:val="24"/><w:b w:val="1"/><w:bCs w:val="1"/></w:rPr><w:t xml:space="preserve">Contoh Kalkulasi</w:t></w:r></w:p><w:p><w:pPr/><w:r><w:rPr/><w:t xml:space="preserve">Anggap dalam satu periode pengukuran (Bulanan dan Kuartalan) didapat data: pembilang = 92, penyebut = 100. Maka Hasil = (92 / 100) × 100% = 92%. Bandingkan dengan target ≥ 100% (Target Tercapai), 80–99% (Cukup), < 80% (Perlu Perbaikan) — selisihnya menjadi target perbaikan periode berikutnya.</w:t></w:r></w:p><w:p/><w:p><w:pPr/><w:r><w:rPr><w:color w:val="1A2744"/><w:sz w:val="28"/><w:szCs w:val="28"/><w:b w:val="1"/><w:bCs w:val="1"/></w:rPr><w:t xml:space="preserve">Interpretasi Hasil</w:t></w:r></w:p><w:tbl><w:tblGrid><w:gridCol w:w="1800" w:type="dxa"/><w:gridCol w:w="3700" w:type="dxa"/><w:gridCol w:w="35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1800" w:type="dxa"/><w:vAlign w:val="center"/><w:noWrap/></w:tcPr><w:p><w:pPr/><w:r><w:rPr><w:b w:val="1"/><w:bCs w:val="1"/><w:shd w:val="clear" w:fill="FCE4EC"/></w:rPr><w:t xml:space="preserve">Status</w:t></w:r></w:p></w:tc><w:tc><w:tcPr><w:tcW w:w="3700" w:type="dxa"/><w:vAlign w:val="center"/><w:noWrap/></w:tcPr><w:p><w:pPr/><w:r><w:rPr><w:b w:val="1"/><w:bCs w:val="1"/><w:shd w:val="clear" w:fill="FCE4EC"/></w:rPr><w:t xml:space="preserve">Apa yang Berarti</w:t></w:r></w:p></w:tc><w:tc><w:tcPr><w:tcW w:w="3500" w:type="dxa"/><w:vAlign w:val="center"/><w:noWrap/></w:tcPr><w:p><w:pPr/><w:r><w:rPr><w:b w:val="1"/><w:bCs w:val="1"/><w:shd w:val="clear" w:fill="FCE4EC"/></w:rPr><w:t xml:space="preserve">Tindakan Singkat</w:t></w:r></w:p></w:tc></w:tr><w:tr><w:trPr/><w:tc><w:tcPr><w:tcW w:w="1800" w:type="dxa"/><w:vAlign w:val="center"/><w:shd w:val="clear" w:fill="FEE2E2"/><w:noWrap/></w:tcPr><w:p><w:pPr/><w:r><w:rPr><w:color w:val="991B1B"/><w:b w:val="1"/><w:bCs w:val="1"/></w:rPr><w:t xml:space="preserve">Off-target</w:t></w:r></w:p></w:tc><w:tc><w:tcPr><w:tcW w:w="3700" w:type="dxa"/><w:vAlign w:val="top"/><w:noWrap/></w:tcPr><w:p><w:pPr/><w:r><w:rPr/><w:t xml:space="preserve">Hasil di luar target (≥ 100% (Target Tercapai), 80–99% (Cukup), < 80% (Perlu Perbaikan)). Trend memburuk atau jauh dari standar industri.</w:t></w:r></w:p></w:tc><w:tc><w:tcPr><w:tcW w:w="3500" w:type="dxa"/><w:vAlign w:val="top"/><w:noWrap/></w:tcPr><w:p><w:pPr/><w:r><w:rPr/><w:t xml:space="preserve">Aktifkan root cause analysis. Stop kampanye / proses jika dampak material. Eskalasi ke pemangku kepentingan.</w:t></w:r></w:p></w:tc></w:tr><w:tr><w:trPr/><w:tc><w:tcPr><w:tcW w:w="1800" w:type="dxa"/><w:vAlign w:val="center"/><w:shd w:val="clear" w:fill="FEF3C7"/><w:noWrap/></w:tcPr><w:p><w:pPr/><w:r><w:rPr><w:color w:val="92400E"/><w:b w:val="1"/><w:bCs w:val="1"/></w:rPr><w:t xml:space="preserve">Borderline</w:t></w:r></w:p></w:tc><w:tc><w:tcPr><w:tcW w:w="3700" w:type="dxa"/><w:vAlign w:val="top"/><w:noWrap/></w:tcPr><w:p><w:pPr/><w:r><w:rPr/><w:t xml:space="preserve">Hasil dekat target, tapi trend tidak konsisten — risk-off setiap saat.</w:t></w:r></w:p></w:tc><w:tc><w:tcPr><w:tcW w:w="3500" w:type="dxa"/><w:vAlign w:val="top"/><w:noWrap/></w:tcPr><w:p><w:pPr/><w:r><w:rPr/><w:t xml:space="preserve">Identifikasi 2–3 driver utama. Lakukan perbaikan iteratif sebelum jadi off-target permanen.</w:t></w:r></w:p></w:tc></w:tr><w:tr><w:trPr/><w:tc><w:tcPr><w:tcW w:w="1800" w:type="dxa"/><w:vAlign w:val="center"/><w:shd w:val="clear" w:fill="DCFCE7"/><w:noWrap/></w:tcPr><w:p><w:pPr/><w:r><w:rPr><w:color w:val="166534"/><w:b w:val="1"/><w:bCs w:val="1"/></w:rPr><w:t xml:space="preserve">On-target</w:t></w:r></w:p></w:tc><w:tc><w:tcPr><w:tcW w:w="3700" w:type="dxa"/><w:vAlign w:val="top"/><w:noWrap/></w:tcPr><w:p><w:pPr/><w:r><w:rPr/><w:t xml:space="preserve">Hasil memenuhi target (≥ 100% (Target Tercapai), 80–99% (Cukup), < 80% (Perlu Perbaikan)). Trend stabil atau membaik.</w:t></w:r></w:p></w:tc><w:tc><w:tcPr><w:tcW w:w="3500" w:type="dxa"/><w:vAlign w:val="top"/><w:noWrap/></w:tcPr><w:p><w:pPr/><w:r><w:rPr/><w:t xml:space="preserve">Pertahankan praktik baik. Dokumentasikan SOP dan transfer ke unit / shift lain.</w:t></w:r></w:p></w:tc></w:tr><w:tr><w:trPr/><w:tc><w:tcPr><w:tcW w:w="1800" w:type="dxa"/><w:vAlign w:val="center"/><w:shd w:val="clear" w:fill="DCFCE7"/><w:noWrap/></w:tcPr><w:p><w:pPr/><w:r><w:rPr><w:color w:val="166534"/><w:b w:val="1"/><w:bCs w:val="1"/></w:rPr><w:t xml:space="preserve">Excellent</w:t></w:r></w:p></w:tc><w:tc><w:tcPr><w:tcW w:w="3700" w:type="dxa"/><w:vAlign w:val="top"/><w:noWrap/></w:tcPr><w:p><w:pPr/><w:r><w:rPr/><w:t xml:space="preserve">Hasil konsisten melampaui target. Trend positif berlanjut.</w:t></w:r></w:p></w:tc><w:tc><w:tcPr><w:tcW w:w="3500" w:type="dxa"/><w:vAlign w:val="top"/><w:noWrap/></w:tcPr><w:p><w:pPr/><w:r><w:rPr/><w:t xml:space="preserve">Bagikan praktik baik sebagai best practice internal. Pertimbangkan stretch target.</w:t></w:r></w:p></w:tc></w:tr></w:tbl><w:p/><w:p><w:pPr/><w:r><w:rPr><w:color w:val="1A2744"/><w:sz w:val="28"/><w:szCs w:val="28"/><w:b w:val="1"/><w:bCs w:val="1"/></w:rPr><w:t xml:space="preserve">Variasi Pengukuran & Best Practice</w:t></w:r></w:p><w:tbl><w:tblGrid><w:gridCol w:w="2700" w:type="dxa"/><w:gridCol w:w="63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700" w:type="dxa"/><w:vAlign w:val="center"/><w:noWrap/></w:tcPr><w:p><w:pPr/><w:r><w:rPr><w:b w:val="1"/><w:bCs w:val="1"/><w:shd w:val="clear" w:fill="FCE4EC"/></w:rPr><w:t xml:space="preserve">Dimensi</w:t></w:r></w:p></w:tc><w:tc><w:tcPr><w:tcW w:w="6300" w:type="dxa"/><w:vAlign w:val="center"/><w:noWrap/></w:tcPr><w:p><w:pPr/><w:r><w:rPr><w:b w:val="1"/><w:bCs w:val="1"/><w:shd w:val="clear" w:fill="FCE4EC"/></w:rPr><w:t xml:space="preserve">Mengapa Berguna</w:t></w:r></w:p></w:tc></w:tr><w:tr><w:trPr/><w:tc><w:tcPr><w:tcW w:w="2700" w:type="dxa"/><w:vAlign w:val="top"/><w:noWrap/></w:tcPr><w:p><w:pPr/><w:r><w:rPr><w:b w:val="1"/><w:bCs w:val="1"/></w:rPr><w:t xml:space="preserve">Per Channel</w:t></w:r></w:p></w:tc><w:tc><w:tcPr><w:tcW w:w="6300" w:type="dxa"/><w:vAlign w:val="top"/><w:noWrap/></w:tcPr><w:p><w:pPr/><w:r><w:rPr/><w:t xml:space="preserve">Search · Social · Email · Direct · Referral. Atribusi ke ROAS / CPA per channel.</w:t></w:r></w:p></w:tc></w:tr><w:tr><w:trPr/><w:tc><w:tcPr><w:tcW w:w="2700" w:type="dxa"/><w:vAlign w:val="top"/><w:noWrap/></w:tcPr><w:p><w:pPr/><w:r><w:rPr><w:b w:val="1"/><w:bCs w:val="1"/></w:rPr><w:t xml:space="preserve">Per Campaign</w:t></w:r></w:p></w:tc><w:tc><w:tcPr><w:tcW w:w="6300" w:type="dxa"/><w:vAlign w:val="top"/><w:noWrap/></w:tcPr><w:p><w:pPr/><w:r><w:rPr/><w:t xml:space="preserve">Setiap creative atau kampanye dipisah. Wajib untuk decision budget reallocation.</w:t></w:r></w:p></w:tc></w:tr><w:tr><w:trPr/><w:tc><w:tcPr><w:tcW w:w="2700" w:type="dxa"/><w:vAlign w:val="top"/><w:noWrap/></w:tcPr><w:p><w:pPr/><w:r><w:rPr><w:b w:val="1"/><w:bCs w:val="1"/></w:rPr><w:t xml:space="preserve">Per Audience Segment</w:t></w:r></w:p></w:tc><w:tc><w:tcPr><w:tcW w:w="6300" w:type="dxa"/><w:vAlign w:val="top"/><w:noWrap/></w:tcPr><w:p><w:pPr/><w:r><w:rPr/><w:t xml:space="preserve">Demografi, perilaku, atau cohort akuisisi — beda persona, beda metric.</w:t></w:r></w:p></w:tc></w:tr><w:tr><w:trPr/><w:tc><w:tcPr><w:tcW w:w="2700" w:type="dxa"/><w:vAlign w:val="top"/><w:noWrap/></w:tcPr><w:p><w:pPr/><w:r><w:rPr><w:b w:val="1"/><w:bCs w:val="1"/></w:rPr><w:t xml:space="preserve">New vs Returning Customer</w:t></w:r></w:p></w:tc><w:tc><w:tcPr><w:tcW w:w="6300" w:type="dxa"/><w:vAlign w:val="top"/><w:noWrap/></w:tcPr><w:p><w:pPr/><w:r><w:rPr/><w:t xml:space="preserve">Pisahkan agar ekonomik akuisisi tidak dicampur dengan retensi.</w:t></w:r></w:p></w:tc></w:tr></w:tbl><w:p/><w:p><w:pPr/><w:r><w:rPr><w:color w:val="1A2744"/><w:sz w:val="28"/><w:szCs w:val="28"/><w:b w:val="1"/><w:bCs w:val="1"/></w:rPr><w:t xml:space="preserve">Kesalahan Umum & Solusinya</w:t></w:r></w:p><w:tbl><w:tblGrid><w:gridCol w:w="4300" w:type="dxa"/><w:gridCol w:w="47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4300" w:type="dxa"/><w:vAlign w:val="center"/><w:noWrap/></w:tcPr><w:p><w:pPr/><w:r><w:rPr><w:b w:val="1"/><w:bCs w:val="1"/><w:shd w:val="clear" w:fill="FCE4EC"/></w:rPr><w:t xml:space="preserve">Kesalahan</w:t></w:r></w:p></w:tc><w:tc><w:tcPr><w:tcW w:w="4700" w:type="dxa"/><w:vAlign w:val="center"/><w:noWrap/></w:tcPr><w:p><w:pPr/><w:r><w:rPr><w:b w:val="1"/><w:bCs w:val="1"/><w:shd w:val="clear" w:fill="FCE4EC"/></w:rPr><w:t xml:space="preserve">Solusi</w:t></w:r></w:p></w:tc></w:tr><w:tr><w:trPr/><w:tc><w:tcPr><w:tcW w:w="4300" w:type="dxa"/><w:vAlign w:val="top"/><w:noWrap/></w:tcPr><w:p><w:pPr/><w:r><w:rPr/><w:t xml:space="preserve">Atribusi last-click — channel di top funnel tidak dapat kredit</w:t></w:r></w:p></w:tc><w:tc><w:tcPr><w:tcW w:w="4700" w:type="dxa"/><w:vAlign w:val="top"/><w:noWrap/></w:tcPr><w:p><w:pPr/><w:r><w:rPr/><w:t xml:space="preserve">Pakai multi-touch atribusi (linear, time-decay, position-based) atau MMM.</w:t></w:r></w:p></w:tc></w:tr><w:tr><w:trPr/><w:tc><w:tcPr><w:tcW w:w="4300" w:type="dxa"/><w:vAlign w:val="top"/><w:noWrap/></w:tcPr><w:p><w:pPr/><w:r><w:rPr/><w:t xml:space="preserve">Optimasi vanity metric (impression, follower)</w:t></w:r></w:p></w:tc><w:tc><w:tcPr><w:tcW w:w="4700" w:type="dxa"/><w:vAlign w:val="top"/><w:noWrap/></w:tcPr><w:p><w:pPr/><w:r><w:rPr/><w:t xml:space="preserve">Kaitkan ke business outcome: revenue, MQL, customer baru.</w:t></w:r></w:p></w:tc></w:tr><w:tr><w:trPr/><w:tc><w:tcPr><w:tcW w:w="4300" w:type="dxa"/><w:vAlign w:val="top"/><w:noWrap/></w:tcPr><w:p><w:pPr/><w:r><w:rPr/><w:t xml:space="preserve">ROAS dihitung tanpa lifetime value</w:t></w:r></w:p></w:tc><w:tc><w:tcPr><w:tcW w:w="4700" w:type="dxa"/><w:vAlign w:val="top"/><w:noWrap/></w:tcPr><w:p><w:pPr/><w:r><w:rPr/><w:t xml:space="preserve">ROAS = revenue iklan saja → underestimate. Pakai LTV/CAC untuk gambaran utuh.</w:t></w:r></w:p></w:tc></w:tr><w:tr><w:trPr/><w:tc><w:tcPr><w:tcW w:w="4300" w:type="dxa"/><w:vAlign w:val="top"/><w:noWrap/></w:tcPr><w:p><w:pPr/><w:r><w:rPr/><w:t xml:space="preserve">Kampanye tanpa A/B test</w:t></w:r></w:p></w:tc><w:tc><w:tcPr><w:tcW w:w="4700" w:type="dxa"/><w:vAlign w:val="top"/><w:noWrap/></w:tcPr><w:p><w:pPr/><w:r><w:rPr/><w:t xml:space="preserve">Selalu running 2–3 variant; alokasikan budget berdasar winner.</w:t></w:r></w:p></w:tc></w:tr><w:tr><w:trPr/><w:tc><w:tcPr><w:tcW w:w="4300" w:type="dxa"/><w:vAlign w:val="top"/><w:noWrap/></w:tcPr><w:p><w:pPr/><w:r><w:rPr/><w:t xml:space="preserve">Mengabaikan brand metrics</w:t></w:r></w:p></w:tc><w:tc><w:tcPr><w:tcW w:w="4700" w:type="dxa"/><w:vAlign w:val="top"/><w:noWrap/></w:tcPr><w:p><w:pPr/><w:r><w:rPr/><w:t xml:space="preserve">Performance saja tanpa brand → diminishing returns dalam 12–18 bulan.</w:t></w:r></w:p></w:tc></w:tr></w:tbl><w:p/><w:p><w:pPr/><w:r><w:rPr><w:color w:val="1A2744"/><w:sz w:val="28"/><w:szCs w:val="28"/><w:b w:val="1"/><w:bCs w:val="1"/></w:rPr><w:t xml:space="preserve">Tindakan Berdasarkan Status</w:t></w:r></w:p><w:p><w:pPr><w:spacing w:before="80"/></w:pPr><w:r><w:rPr><w:color w:val="991B1B"/><w:b w:val="1"/><w:bCs w:val="1"/></w:rPr><w:t xml:space="preserve">Off-target  </w:t></w:r><w:r><w:rPr><w:color w:val="6B7280"/><w:i w:val="1"/><w:iCs w:val="1"/></w:rPr><w:t xml:space="preserve">Hasil di luar target / trend memburuk</w:t></w:r></w:p><w:p><w:pPr/><w:r><w:rPr/><w:t xml:space="preserve">Pause kampanye yang underperform — jangan terus bakar budget. Audit creative, targeting, dan landing page experience. Re-segment audience dan re-test dengan budget kecil sebelum scaling.</w:t></w:r></w:p><w:p><w:pPr><w:spacing w:before="80"/></w:pPr><w:r><w:rPr><w:color w:val="92400E"/><w:b w:val="1"/><w:bCs w:val="1"/></w:rPr><w:t xml:space="preserve">Borderline  </w:t></w:r><w:r><w:rPr><w:color w:val="6B7280"/><w:i w:val="1"/><w:iCs w:val="1"/></w:rPr><w:t xml:space="preserve">Mendekati target, trend tidak konsisten</w:t></w:r></w:p><w:p><w:pPr/><w:r><w:rPr/><w:t xml:space="preserve">A/B test creative dan landing page; refine targeting (look-alike, exclusion). Realokasikan budget ke top-performing channel — pareto 80/20.</w:t></w:r></w:p><w:p><w:pPr><w:spacing w:before="80"/></w:pPr><w:r><w:rPr><w:color w:val="166534"/><w:b w:val="1"/><w:bCs w:val="1"/></w:rPr><w:t xml:space="preserve">On-target / Excellent  </w:t></w:r><w:r><w:rPr><w:color w:val="6B7280"/><w:i w:val="1"/><w:iCs w:val="1"/></w:rPr><w:t xml:space="preserve">Memenuhi atau melampaui target</w:t></w:r></w:p><w:p><w:pPr/><w:r><w:rPr/><w:t xml:space="preserve">Scale up pelan-pelan — naik 20–30% per minggu di channel yang konversi. Hindari premature scaling yang membakar budget tanpa kontrol unit economics.</w:t></w:r></w:p><w:p/><w:p><w:pPr/><w:r><w:rPr><w:color w:val="1A2744"/><w:sz w:val="28"/><w:szCs w:val="28"/><w:b w:val="1"/><w:bCs w:val="1"/></w:rPr><w:t xml:space="preserve">KPI Pendamping</w:t></w:r></w:p><w:p><w:pPr/><w:r><w:rPr/><w:t xml:space="preserve">KPI ini sebaiknya tidak berdiri sendiri. Padukan dengan KPI lain di kategori yang sama:</w:t></w:r></w:p><w:p><w:pPr/><w:r><w:rPr><w:color w:val="1A2744"/><w:b w:val="1"/><w:bCs w:val="1"/></w:rPr><w:t xml:space="preserve">KPI Brand Awareness Score</w:t></w:r><w:r><w:rPr><w:color w:val="6B7280"/><w:sz w:val="18"/><w:szCs w:val="18"/></w:rPr><w:t xml:space="preserve"> — Tingkat keterikatan publik dengan brand (top-of-mind, aided, unaided).</w:t></w:r></w:p><w:p><w:pPr/><w:r><w:rPr><w:color w:val="1A2744"/><w:b w:val="1"/><w:bCs w:val="1"/></w:rPr><w:t xml:space="preserve">KPI Email Open Rate</w:t></w:r><w:r><w:rPr><w:color w:val="6B7280"/><w:sz w:val="18"/><w:szCs w:val="18"/></w:rPr><w:t xml:space="preserve"> — Persentase email yang dibuka penerima dari total email terkirim.</w:t></w:r></w:p><w:p><w:pPr/><w:r><w:rPr><w:color w:val="1A2744"/><w:b w:val="1"/><w:bCs w:val="1"/></w:rPr><w:t xml:space="preserve">KPI Customer Lifetime Value (CLV)</w:t></w:r><w:r><w:rPr><w:color w:val="6B7280"/><w:sz w:val="18"/><w:szCs w:val="18"/></w:rPr><w:t xml:space="preserve"> — Estimasi total profit dari customer selama hubungannya dengan brand.</w:t></w:r></w:p><w:p><w:pPr/><w:r><w:rPr><w:color w:val="1A2744"/><w:b w:val="1"/><w:bCs w:val="1"/></w:rPr><w:t xml:space="preserve">KPI Conversion Rate</w:t></w:r><w:r><w:rPr><w:color w:val="6B7280"/><w:sz w:val="18"/><w:szCs w:val="18"/></w:rPr><w:t xml:space="preserve"> — Persentase pengunjung yang melakukan aksi target (purchase, sign-up, dll).</w:t></w:r></w:p><w:p/><w:p><w:pPr/><w:r><w:rPr><w:color w:val="1A2744"/><w:sz w:val="28"/><w:szCs w:val="28"/><w:b w:val="1"/><w:bCs w:val="1"/></w:rPr><w:t xml:space="preserve">Checklist Implementasi</w:t></w:r></w:p><w:p><w:pPr><w:numPr><w:ilvl w:val="0"/><w:numId w:val="1"/></w:numPr></w:pPr><w:r><w:rPr/><w:t xml:space="preserve">Tetapkan baseline. Ukur 1–2 periode sebelum set target — jangan langsung set target ambisius tanpa tahu starting point.</w:t></w:r></w:p><w:p><w:pPr><w:numPr><w:ilvl w:val="0"/><w:numId w:val="1"/></w:numPr></w:pPr><w:r><w:rPr/><w:t xml:space="preserve">Definisikan formula tertulis. Tuliskan rumus, sumber data, exclusion rule di glossarium yang dapat diakses tim.</w:t></w:r></w:p><w:p><w:pPr><w:numPr><w:ilvl w:val="0"/><w:numId w:val="1"/></w:numPr></w:pPr><w:r><w:rPr/><w:t xml:space="preserve">Otomatisasi pengumpulan data. Manual entry = rentan error & delay. Pakai sistem sumber otoritatif dengan ETL / sync rutin.</w:t></w:r></w:p><w:p><w:pPr><w:numPr><w:ilvl w:val="0"/><w:numId w:val="1"/></w:numPr></w:pPr><w:r><w:rPr/><w:t xml:space="preserve">Set cadence review. Frekuensi pengukuran = Bulanan dan Kuartalan. Pastikan ada slot rapat rutin untuk membahas hasil dan action plan.</w:t></w:r></w:p><w:p><w:pPr><w:numPr><w:ilvl w:val="0"/><w:numId w:val="1"/></w:numPr></w:pPr><w:r><w:rPr/><w:t xml:space="preserve">Action SLA. Setiap deviasi > threshold tertentu harus memicu action plan. Tanpa SLA = monitoring tanpa improvement.</w:t></w:r></w:p><w:p><w:pPr><w:numPr><w:ilvl w:val="0"/><w:numId w:val="1"/></w:numPr></w:pPr><w:r><w:rPr/><w:t xml:space="preserve">Komunikasikan ke tim. Bagikan hasil + tindakan yang akan diambil. Karyawan yang tahu konteks lebih engaged dan kolaboratif.</w:t></w:r></w:p><w:p><w:pPr><w:numPr><w:ilvl w:val="0"/><w:numId w:val="1"/></w:numPr></w:pPr><w:r><w:rPr/><w:t xml:space="preserve">Iterasi target tahunan. Target tahun lalu mungkin tidak relevan tahun ini. Adjust ke realitas bisnis saat strategic planning.</w:t></w:r></w:p><w:p/><w:p><w:pPr><w:spacing w:before="200"/></w:pPr><w:r><w:rPr><w:color w:val="701A75"/><w:i w:val="1"/><w:iCs w:val="1"/></w:rPr><w:t xml:space="preserve">Tools: Tools rekomendasi: Google Analytics 4 + Meta Pixel sebagai baseline gratis. Skala menengah: HubSpot, Mixpanel, atau Segment untuk event tracking. Enterprise: Adobe Analytics + customer data platform (CDP) seperti Tealium / mParticle.</w:t></w:r></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CA3AF"/>
        <w:sz w:val="16"/>
        <w:szCs w:val="16"/>
      </w:rPr>
      <w:t xml:space="preserve">KPI-0101 · 07/05/2026 · GajiHub KPI — kpi.gajihub.com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3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2026-05-07T13:21:31+00:00</dcterms:created>
  <dcterms:modified xsi:type="dcterms:W3CDTF">2026-05-07T13:21:31+00:00</dcterms:modified>
</cp:coreProperties>
</file>

<file path=docProps/custom.xml><?xml version="1.0" encoding="utf-8"?>
<Properties xmlns="http://schemas.openxmlformats.org/officeDocument/2006/custom-properties" xmlns:vt="http://schemas.openxmlformats.org/officeDocument/2006/docPropsVTypes"/>
</file>