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Operasional</w:t></w:r></w:p><w:p><w:pPr><w:jc w:val="center"/><w:spacing w:after="100"/></w:pPr><w:r><w:rPr><w:color w:val="1A2744"/><w:sz w:val="36"/><w:szCs w:val="36"/><w:b w:val="1"/><w:bCs w:val="1"/></w:rPr><w:t xml:space="preserve">KPI Process Efficiency Ratio</w:t></w:r></w:p><w:p><w:pPr><w:jc w:val="center"/></w:pPr><w:r><w:rPr><w:color w:val="4B5563"/><w:i w:val="1"/><w:iCs w:val="1"/></w:rPr><w:t xml:space="preserve">Rasio waktu nilai-tambah (value-added) terhadap total waktu proses.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(Waktu value-added / Total waktu proses)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 / setelah value stream mapping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60% (lean target ambisius)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Process Improvement Lead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ERP, MES, Andon, SCADA, time-stamp log operasi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Process Efficiency Ratio (PER) adalah konsep lean: dari semua waktu yang dipakai dalam proses, berapa persen yang benar-benar menghasilkan nilai bagi pelanggan? Sisanya adalah muda (waste) yang harus dieliminasi.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& reliabilitas eksekusi sehari-hari — langsung berdampak ke margin.</w:t></w:r></w:p><w:p><w:pPr><w:numPr><w:ilvl w:val="0"/><w:numId w:val="1"/></w:numPr></w:pPr><w:r><w:rPr/><w:t xml:space="preserve">Memungkinkan deteksi dini bottleneck, deviasi proses, dan capacity issue sebelum eskalasi.</w:t></w:r></w:p><w:p><w:pPr><w:numPr><w:ilvl w:val="0"/><w:numId w:val="1"/></w:numPr></w:pPr><w:r><w:rPr/><w:t xml:space="preserve">Bahan utama operations review mingguan dan continuous improvement (kaizen, lean, Six Sigma).</w:t></w:r></w:p><w:p><w:pPr><w:numPr><w:ilvl w:val="0"/><w:numId w:val="1"/></w:numPr></w:pPr><w:r><w:rPr/><w:t xml:space="preserve">Mendukung sertifikasi ISO 9001 dan benchmarking lintas-pabrik atau lintas-unit.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 / setelah value stream mapping).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(Waktu value-added / Total waktu proses) × 100%.</w:t></w:r></w:p><w:p><w:pPr><w:numPr><w:ilvl w:val="0"/><w:numId w:val="1"/></w:numPr></w:pPr><w:r><w:rPr/><w:t xml:space="preserve">Bandingkan hasil dengan target ≥ 60% (lean target ambisius)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 / setelah value stream mapping) didapat data: pembilang = 92, penyebut = 100. Maka Hasil = (92 / 100) × 100% = 92%. Bandingkan dengan target ≥ 60% (lean target ambisius)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60% (lean target ambisius)).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60% (lean target ambisius)).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/ Site</w:t></w:r></w:p></w:tc><w:tc><w:tcPr><w:tcW w:w="6300" w:type="dxa"/><w:vAlign w:val="top"/><w:noWrap/></w:tcPr><w:p><w:pPr/><w:r><w:rPr/><w:t xml:space="preserve">Bandingkan performa lini A vs B vs C. Identifikasi best practice untuk replikasi.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Pola sering berbeda — masalah staffing, fatigue, atau supervisi.</w:t></w:r></w:p></w:tc></w:tr><w:tr><w:trPr/><w:tc><w:tcPr><w:tcW w:w="2700" w:type="dxa"/><w:vAlign w:val="top"/><w:noWrap/></w:tcPr><w:p><w:pPr/><w:r><w:rPr><w:b w:val="1"/><w:bCs w:val="1"/></w:rPr><w:t xml:space="preserve">Per Produk / SKU</w:t></w:r></w:p></w:tc><w:tc><w:tcPr><w:tcW w:w="6300" w:type="dxa"/><w:vAlign w:val="top"/><w:noWrap/></w:tcPr><w:p><w:pPr/><w:r><w:rPr/><w:t xml:space="preserve">Kompleksitas produk berbeda → KPI berbeda. Penting untuk capacity planning.</w:t></w:r></w:p></w:tc></w:tr><w:tr><w:trPr/><w:tc><w:tcPr><w:tcW w:w="2700" w:type="dxa"/><w:vAlign w:val="top"/><w:noWrap/></w:tcPr><w:p><w:pPr/><w:r><w:rPr><w:b w:val="1"/><w:bCs w:val="1"/></w:rPr><w:t xml:space="preserve">Rolling Window</w:t></w:r></w:p></w:tc><w:tc><w:tcPr><w:tcW w:w="6300" w:type="dxa"/><w:vAlign w:val="top"/><w:noWrap/></w:tcPr><w:p><w:pPr/><w:r><w:rPr/><w:t xml:space="preserve">7-hari, 30-hari, 90-hari rolling. Lebih actionable dari snapshot bulanan.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angka agregat tanpa drill-down</w:t></w:r></w:p></w:tc><w:tc><w:tcPr><w:tcW w:w="4700" w:type="dxa"/><w:vAlign w:val="top"/><w:noWrap/></w:tcPr><w:p><w:pPr/><w:r><w:rPr/><w:t xml:space="preserve">Bagi per shift / lini / produk untuk identifikasi root cause.</w:t></w:r></w:p></w:tc></w:tr><w:tr><w:trPr/><w:tc><w:tcPr><w:tcW w:w="4300" w:type="dxa"/><w:vAlign w:val="top"/><w:noWrap/></w:tcPr><w:p><w:pPr/><w:r><w:rPr/><w:t xml:space="preserve">Definisi metric berbeda antar unit pelapor</w:t></w:r></w:p></w:tc><w:tc><w:tcPr><w:tcW w:w="4700" w:type="dxa"/><w:vAlign w:val="top"/><w:noWrap/></w:tcPr><w:p><w:pPr/><w:r><w:rPr/><w:t xml:space="preserve">Tetapkan glossarium tertulis dan owner data definition.</w:t></w:r></w:p></w:tc></w:tr><w:tr><w:trPr/><w:tc><w:tcPr><w:tcW w:w="4300" w:type="dxa"/><w:vAlign w:val="top"/><w:noWrap/></w:tcPr><w:p><w:pPr/><w:r><w:rPr/><w:t xml:space="preserve">Manual entry data → tidak real-time + error tinggi</w:t></w:r></w:p></w:tc><w:tc><w:tcPr><w:tcW w:w="4700" w:type="dxa"/><w:vAlign w:val="top"/><w:noWrap/></w:tcPr><w:p><w:pPr/><w:r><w:rPr/><w:t xml:space="preserve">Otomatisasi via IoT, SCADA, atau MES. Reduce manual touchpoint.</w:t></w:r></w:p></w:tc></w:tr><w:tr><w:trPr/><w:tc><w:tcPr><w:tcW w:w="4300" w:type="dxa"/><w:vAlign w:val="top"/><w:noWrap/></w:tcPr><w:p><w:pPr/><w:r><w:rPr/><w:t xml:space="preserve">Target tidak di-review — relevan tahun lalu, tidak relevan sekarang</w:t></w:r></w:p></w:tc><w:tc><w:tcPr><w:tcW w:w="4700" w:type="dxa"/><w:vAlign w:val="top"/><w:noWrap/></w:tcPr><w:p><w:pPr/><w:r><w:rPr/><w:t xml:space="preserve">Review target tiap tahun saat strategic planning.</w:t></w:r></w:p></w:tc></w:tr><w:tr><w:trPr/><w:tc><w:tcPr><w:tcW w:w="4300" w:type="dxa"/><w:vAlign w:val="top"/><w:noWrap/></w:tcPr><w:p><w:pPr/><w:r><w:rPr/><w:t xml:space="preserve">KPI dijadikan alat blaming, bukan improvement</w:t></w:r></w:p></w:tc><w:tc><w:tcPr><w:tcW w:w="4700" w:type="dxa"/><w:vAlign w:val="top"/><w:noWrap/></w:tcPr><w:p><w:pPr/><w:r><w:rPr/><w:t xml:space="preserve">Konteks "blameless" — fokus sistem & proses, bukan individu.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Operations review urgent dengan stakeholder lintas-fungsi. Lakukan 5 Why / fishbone untuk pelanggaran SLA paling besar. Tetapkan task force dengan SLA recovery 14–30 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bottleneck terbesar. Tinjau capacity vs demand forecast, tambah resource jika diperlukan, atau revisi commitment SLA dengan stakeholder.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SOP & standard work — pastikan praktik baik terdokumentasi dan ditransfer ke shift / lini lain. Eksplor automation untuk mempertahankan tanpa naik biaya operasional.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SLA Compliance Rate</w:t></w:r><w:r><w:rPr><w:color w:val="6B7280"/><w:sz w:val="18"/><w:szCs w:val="18"/></w:rPr><w:t xml:space="preserve"> — Persentase komitmen Service Level Agreement yang dipenuhi.</w:t></w:r></w:p><w:p><w:pPr/><w:r><w:rPr><w:color w:val="1A2744"/><w:b w:val="1"/><w:bCs w:val="1"/></w:rPr><w:t xml:space="preserve">KPI Operational Cost per Unit</w:t></w:r><w:r><w:rPr><w:color w:val="6B7280"/><w:sz w:val="18"/><w:szCs w:val="18"/></w:rPr><w:t xml:space="preserve"> — Total biaya operasional rata-rata untuk menghasilkan satu unit output.</w:t></w:r></w:p><w:p><w:pPr/><w:r><w:rPr><w:color w:val="1A2744"/><w:b w:val="1"/><w:bCs w:val="1"/></w:rPr><w:t xml:space="preserve">KPI Lead Time Operasional</w:t></w:r><w:r><w:rPr><w:color w:val="6B7280"/><w:sz w:val="18"/><w:szCs w:val="18"/></w:rPr><w:t xml:space="preserve"> — Total waktu siklus dari awal proses hingga output siap diserahkan.</w:t></w:r></w:p><w:p><w:pPr/><w:r><w:rPr><w:color w:val="1A2744"/><w:b w:val="1"/><w:bCs w:val="1"/></w:rPr><w:t xml:space="preserve">KPI Order Fulfillment Cycle Time</w:t></w:r><w:r><w:rPr><w:color w:val="6B7280"/><w:sz w:val="18"/><w:szCs w:val="18"/></w:rPr><w:t xml:space="preserve"> — Total waktu sejak order diterima hingga selesai dikirim ke pelanggan.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 / setelah value stream mapping.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Spreadsheet untuk start. Skala menengah: Looker Studio / Power BI dashboard otomatis. Skala enterprise: MES (Manufacturing Execution System) seperti Wonderware, Aveva, atau cloud BI dengan ETL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KPI-0014 · 14/04/2026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304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2026-05-07T13:17:16+00:00</dcterms:created>
  <dcterms:modified xsi:type="dcterms:W3CDTF">2026-05-07T13:17:16+00:00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