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Operational Cost per Unit</w:t></w:r></w:p><w:p><w:pPr><w:jc w:val="center"/></w:pPr><w:r><w:rPr><w:color w:val="4B5563"/><w:i w:val="1"/><w:iCs w:val="1"/></w:rPr><w:t xml:space="preserve">Total biaya operasional rata-rata untuk menghasilkan satu unit output.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biaya operasional / Jumlah unit output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unit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budget; trend turun YoY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COO / Finance Controller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Membagi total biaya operasional (tenaga kerja, energi, bahan habis pakai, overhead alokasi) dengan jumlah unit output. Mengukur efisiensi struktural dan menjadi dasar pricing strategy.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biaya operasional / Jumlah unit output.</w:t></w:r></w:p><w:p><w:pPr><w:numPr><w:ilvl w:val="0"/><w:numId w:val="1"/></w:numPr></w:pPr><w:r><w:rPr/><w:t xml:space="preserve">Bandingkan hasil dengan target Sesuai budget; trend turun YoY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Sesuai budget; trend turun YoY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budget; trend turun YoY).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budget; trend turun YoY).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><w:pPr/><w:r><w:rPr><w:color w:val="1A2744"/><w:b w:val="1"/><w:bCs w:val="1"/></w:rPr><w:t xml:space="preserve">KPI SLA Compliance Rate</w:t></w:r><w:r><w:rPr><w:color w:val="6B7280"/><w:sz w:val="18"/><w:szCs w:val="18"/></w:rPr><w:t xml:space="preserve"> — Persentase komitmen Service Level Agreement yang dipenuhi.</w:t></w:r></w:p><w:p><w:pPr/><w:r><w:rPr><w:color w:val="1A2744"/><w:b w:val="1"/><w:bCs w:val="1"/></w:rPr><w:t xml:space="preserve">KPI Capacity Utilization Rate</w:t></w:r><w:r><w:rPr><w:color w:val="6B7280"/><w:sz w:val="18"/><w:szCs w:val="18"/></w:rPr><w:t xml:space="preserve"> — Rasio output aktual terhadap kapasitas maksimum operasional.</w:t></w:r></w:p><w:p><w:pPr/><w:r><w:rPr><w:color w:val="1A2744"/><w:b w:val="1"/><w:bCs w:val="1"/></w:rPr><w:t xml:space="preserve">KPI Lead Time Operasional</w:t></w:r><w:r><w:rPr><w:color w:val="6B7280"/><w:sz w:val="18"/><w:szCs w:val="18"/></w:rPr><w:t xml:space="preserve"> — Total waktu siklus dari awal proses hingga output siap diserahkan.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KPI-0015 · 12/02/2026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7E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2026-05-07T13:17:18+00:00</dcterms:created>
  <dcterms:modified xsi:type="dcterms:W3CDTF">2026-05-07T13:17:18+00:00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