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SLA Compliance Rate</w:t></w:r></w:p><w:p><w:pPr><w:jc w:val="center"/></w:pPr><w:r><w:rPr><w:color w:val="4B5563"/><w:i w:val="1"/><w:iCs w:val="1"/></w:rPr><w:t xml:space="preserve">Persentase komitmen Service Level Agreement yang dipenuhi.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(Komitmen SLA terpenuhi / Total komitmen SLA)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(per kontrak / akun)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98%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SLA Manager / Account Owner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SLA Compliance mengukur seberapa konsisten organisasi memenuhi parameter Service Level Agreement (waktu respons, waktu resolusi, uptime, dll) yang dijanjikan ke pelanggan atau divisi internal. Pelanggaran SLA sering memicu denda finansial.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(per kontrak / akun)).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(Komitmen SLA terpenuhi / Total komitmen SLA) × 100%.</w:t></w:r></w:p><w:p><w:pPr><w:numPr><w:ilvl w:val="0"/><w:numId w:val="1"/></w:numPr></w:pPr><w:r><w:rPr/><w:t xml:space="preserve">Bandingkan hasil dengan target ≥ 98%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 (per kontrak / akun)) didapat data: pembilang = 92, penyebut = 100. Maka Hasil = (92 / 100) × 100% = 92%. Bandingkan dengan target ≥ 98%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98%).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98%).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Process Efficiency Ratio</w:t></w:r><w:r><w:rPr><w:color w:val="6B7280"/><w:sz w:val="18"/><w:szCs w:val="18"/></w:rPr><w:t xml:space="preserve"> — Rasio waktu nilai-tambah (value-added) terhadap total waktu proses.</w:t></w:r></w:p><w:p><w:pPr/><w:r><w:rPr><w:color w:val="1A2744"/><w:b w:val="1"/><w:bCs w:val="1"/></w:rPr><w:t xml:space="preserve">KPI Lead Time Operasional</w:t></w:r><w:r><w:rPr><w:color w:val="6B7280"/><w:sz w:val="18"/><w:szCs w:val="18"/></w:rPr><w:t xml:space="preserve"> — Total waktu siklus dari awal proses hingga output siap diserahkan.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><w:pPr/><w:r><w:rPr><w:color w:val="1A2744"/><w:b w:val="1"/><w:bCs w:val="1"/></w:rPr><w:t xml:space="preserve">KPI Capacity Utilization Rate</w:t></w:r><w:r><w:rPr><w:color w:val="6B7280"/><w:sz w:val="18"/><w:szCs w:val="18"/></w:rPr><w:t xml:space="preserve"> — Rasio output aktual terhadap kapasitas maksimum operasional.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(per kontrak / akun).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KPI-0016 · 08/04/2026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FC5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2026-05-07T13:17:21+00:00</dcterms:created>
  <dcterms:modified xsi:type="dcterms:W3CDTF">2026-05-07T13:17:21+00:00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