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color w:val="C2185B"/><w:sz w:val="18"/><w:szCs w:val="18"/><w:b w:val="1"/><w:bCs w:val="1"/></w:rPr><w:t xml:space="preserve">Kategori: Operasional</w:t></w:r></w:p><w:p><w:pPr><w:jc w:val="center"/><w:spacing w:after="100"/></w:pPr><w:r><w:rPr><w:color w:val="1A2744"/><w:sz w:val="36"/><w:szCs w:val="36"/><w:b w:val="1"/><w:bCs w:val="1"/></w:rPr><w:t xml:space="preserve">KPI Asset Uptime</w:t></w:r></w:p><w:p><w:pPr><w:jc w:val="center"/></w:pPr><w:r><w:rPr><w:color w:val="4B5563"/><w:i w:val="1"/><w:iCs w:val="1"/></w:rPr><w:t xml:space="preserve">Persentase waktu aset / mesin operasional dibanding total waktu yang dibutuhkan.</w:t></w:r></w:p><w:p/><w:tbl><w:tblGrid><w:gridCol w:w="2800" w:type="dxa"/><w:gridCol w:w="62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Rumus</w:t></w:r></w:p></w:tc><w:tc><w:tcPr><w:tcW w:w="6200" w:type="dxa"/><w:vAlign w:val="top"/><w:noWrap/></w:tcPr><w:p><w:pPr/><w:r><w:rPr><w:color w:val="1A2744"/><w:b w:val="1"/><w:bCs w:val="1"/></w:rPr><w:t xml:space="preserve">(Total waktu uptime / Total waktu operasi terjadwal) × 100%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Satuan</w:t></w:r></w:p></w:tc><w:tc><w:tcPr><w:tcW w:w="6200" w:type="dxa"/><w:vAlign w:val="top"/><w:noWrap/></w:tcPr><w:p><w:pPr/><w:r><w:rPr><w:color w:val="1A2744"/><w:b w:val="1"/><w:bCs w:val="1"/></w:rPr><w:t xml:space="preserve">Persentase (%)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Frekuensi</w:t></w:r></w:p></w:tc><w:tc><w:tcPr><w:tcW w:w="6200" w:type="dxa"/><w:vAlign w:val="top"/><w:noWrap/></w:tcPr><w:p><w:pPr/><w:r><w:rPr><w:color w:val="1A2744"/><w:b w:val="1"/><w:bCs w:val="1"/></w:rPr><w:t xml:space="preserve">Bulanan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Target</w:t></w:r></w:p></w:tc><w:tc><w:tcPr><w:tcW w:w="6200" w:type="dxa"/><w:vAlign w:val="top"/><w:noWrap/></w:tcPr><w:p><w:pPr/><w:r><w:rPr><w:color w:val="1A2744"/><w:b w:val="1"/><w:bCs w:val="1"/></w:rPr><w:t xml:space="preserve">≥ 95% (umum), ≥ 99.9% (mission-critical)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Penanggung Jawab</w:t></w:r></w:p></w:tc><w:tc><w:tcPr><w:tcW w:w="6200" w:type="dxa"/><w:vAlign w:val="top"/><w:noWrap/></w:tcPr><w:p><w:pPr/><w:r><w:rPr><w:color w:val="1A2744"/><w:b w:val="1"/><w:bCs w:val="1"/></w:rPr><w:t xml:space="preserve">Maintenance Lead</w:t></w:r></w:p></w:tc></w:tr><w:tr><w:trPr/><w:tc><w:tcPr><w:tcW w:w="2800" w:type="dxa"/><w:vAlign w:val="center"/><w:shd w:val="clear" w:fill="FFF1F5"/><w:noWrap/></w:tcPr><w:p><w:pPr/><w:r><w:rPr><w:color w:val="6B7280"/><w:sz w:val="20"/><w:szCs w:val="20"/><w:b w:val="1"/><w:bCs w:val="1"/></w:rPr><w:t xml:space="preserve">Sumber Data</w:t></w:r></w:p></w:tc><w:tc><w:tcPr><w:tcW w:w="6200" w:type="dxa"/><w:vAlign w:val="top"/><w:noWrap/></w:tcPr><w:p><w:pPr/><w:r><w:rPr><w:color w:val="1A2744"/><w:b w:val="1"/><w:bCs w:val="1"/></w:rPr><w:t xml:space="preserve">ERP, MES, Andon, SCADA, time-stamp log operasi</w:t></w:r></w:p></w:tc></w:tr></w:tbl><w:p/><w:p><w:pPr/><w:r><w:rPr><w:color w:val="1A2744"/><w:sz w:val="28"/><w:szCs w:val="28"/><w:b w:val="1"/><w:bCs w:val="1"/></w:rPr><w:t xml:space="preserve">Definisi & Konteks</w:t></w:r></w:p><w:p><w:pPr/><w:r><w:rPr/><w:t xml:space="preserve">Asset Uptime adalah persentase waktu suatu aset (mesin, server, kendaraan) tersedia dan beroperasi normal terhadap total waktu operasional yang dibutuhkan. Komplementer dengan downtime dan input untuk OEE.</w:t></w:r></w:p><w:p/><w:p><w:pPr/><w:r><w:rPr><w:color w:val="1A2744"/><w:sz w:val="28"/><w:szCs w:val="28"/><w:b w:val="1"/><w:bCs w:val="1"/></w:rPr><w:t xml:space="preserve">Mengapa KPI Ini Penting</w:t></w:r></w:p><w:p><w:pPr><w:numPr><w:ilvl w:val="0"/><w:numId w:val="1"/></w:numPr></w:pPr><w:r><w:rPr/><w:t xml:space="preserve">Indikator efisiensi & reliabilitas eksekusi sehari-hari — langsung berdampak ke margin.</w:t></w:r></w:p><w:p><w:pPr><w:numPr><w:ilvl w:val="0"/><w:numId w:val="1"/></w:numPr></w:pPr><w:r><w:rPr/><w:t xml:space="preserve">Memungkinkan deteksi dini bottleneck, deviasi proses, dan capacity issue sebelum eskalasi.</w:t></w:r></w:p><w:p><w:pPr><w:numPr><w:ilvl w:val="0"/><w:numId w:val="1"/></w:numPr></w:pPr><w:r><w:rPr/><w:t xml:space="preserve">Bahan utama operations review mingguan dan continuous improvement (kaizen, lean, Six Sigma).</w:t></w:r></w:p><w:p><w:pPr><w:numPr><w:ilvl w:val="0"/><w:numId w:val="1"/></w:numPr></w:pPr><w:r><w:rPr/><w:t xml:space="preserve">Mendukung sertifikasi ISO 9001 dan benchmarking lintas-pabrik atau lintas-unit.</w:t></w:r></w:p><w:p/><w:p><w:pPr/><w:r><w:rPr><w:color w:val="1A2744"/><w:sz w:val="28"/><w:szCs w:val="28"/><w:b w:val="1"/><w:bCs w:val="1"/></w:rPr><w:t xml:space="preserve">Cara Menghitung</w:t></w:r></w:p><w:p><w:pPr><w:numPr><w:ilvl w:val="0"/><w:numId w:val="1"/></w:numPr></w:pPr><w:r><w:rPr/><w:t xml:space="preserve">Kumpulkan data sumber untuk periode pengukuran (Bulanan). Pastikan dari sistem otoritatif, bukan rekap manual.</w:t></w:r></w:p><w:p><w:pPr><w:numPr><w:ilvl w:val="0"/><w:numId w:val="1"/></w:numPr></w:pPr><w:r><w:rPr/><w:t xml:space="preserve">Validasi kelengkapan dan akurasi data — buang outlier akibat kesalahan input atau periode tidak penuh.</w:t></w:r></w:p><w:p><w:pPr><w:numPr><w:ilvl w:val="0"/><w:numId w:val="1"/></w:numPr></w:pPr><w:r><w:rPr/><w:t xml:space="preserve">Hitung dengan rumus: (Total waktu uptime / Total waktu operasi terjadwal) × 100%.</w:t></w:r></w:p><w:p><w:pPr><w:numPr><w:ilvl w:val="0"/><w:numId w:val="1"/></w:numPr></w:pPr><w:r><w:rPr/><w:t xml:space="preserve">Bandingkan hasil dengan target ≥ 95% (umum), ≥ 99.9% (mission-critical) dan periode sebelumnya untuk lihat trend.</w:t></w:r></w:p><w:p><w:pPr><w:numPr><w:ilvl w:val="0"/><w:numId w:val="1"/></w:numPr></w:pPr><w:r><w:rPr/><w:t xml:space="preserve">Dokumentasikan di dashboard KPI dan komunikasikan ke pemangku kepentingan dalam rapat rutin.</w:t></w:r></w:p><w:p/><w:p><w:pPr/><w:r><w:rPr><w:color w:val="1A2744"/><w:sz w:val="24"/><w:szCs w:val="24"/><w:b w:val="1"/><w:bCs w:val="1"/></w:rPr><w:t xml:space="preserve">Contoh Kalkulasi</w:t></w:r></w:p><w:p><w:pPr/><w:r><w:rPr/><w:t xml:space="preserve">Anggap dalam satu periode pengukuran (Bulanan) didapat data: pembilang = 92, penyebut = 100. Maka Hasil = (92 / 100) × 100% = 92%. Bandingkan dengan target ≥ 95% (umum), ≥ 99.9% (mission-critical) — selisihnya menjadi target perbaikan periode berikutnya.</w:t></w:r></w:p><w:p/><w:p><w:pPr/><w:r><w:rPr><w:color w:val="1A2744"/><w:sz w:val="28"/><w:szCs w:val="28"/><w:b w:val="1"/><w:bCs w:val="1"/></w:rPr><w:t xml:space="preserve">Interpretasi Hasil</w:t></w:r></w:p><w:tbl><w:tblGrid><w:gridCol w:w="1800" w:type="dxa"/><w:gridCol w:w="3700" w:type="dxa"/><w:gridCol w:w="35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1800" w:type="dxa"/><w:vAlign w:val="center"/><w:noWrap/></w:tcPr><w:p><w:pPr/><w:r><w:rPr><w:b w:val="1"/><w:bCs w:val="1"/><w:shd w:val="clear" w:fill="FCE4EC"/></w:rPr><w:t xml:space="preserve">Status</w:t></w:r></w:p></w:tc><w:tc><w:tcPr><w:tcW w:w="3700" w:type="dxa"/><w:vAlign w:val="center"/><w:noWrap/></w:tcPr><w:p><w:pPr/><w:r><w:rPr><w:b w:val="1"/><w:bCs w:val="1"/><w:shd w:val="clear" w:fill="FCE4EC"/></w:rPr><w:t xml:space="preserve">Apa yang Berarti</w:t></w:r></w:p></w:tc><w:tc><w:tcPr><w:tcW w:w="3500" w:type="dxa"/><w:vAlign w:val="center"/><w:noWrap/></w:tcPr><w:p><w:pPr/><w:r><w:rPr><w:b w:val="1"/><w:bCs w:val="1"/><w:shd w:val="clear" w:fill="FCE4EC"/></w:rPr><w:t xml:space="preserve">Tindakan Singkat</w:t></w:r></w:p></w:tc></w:tr><w:tr><w:trPr/><w:tc><w:tcPr><w:tcW w:w="1800" w:type="dxa"/><w:vAlign w:val="center"/><w:shd w:val="clear" w:fill="FEE2E2"/><w:noWrap/></w:tcPr><w:p><w:pPr/><w:r><w:rPr><w:color w:val="991B1B"/><w:b w:val="1"/><w:bCs w:val="1"/></w:rPr><w:t xml:space="preserve">Off-target</w:t></w:r></w:p></w:tc><w:tc><w:tcPr><w:tcW w:w="3700" w:type="dxa"/><w:vAlign w:val="top"/><w:noWrap/></w:tcPr><w:p><w:pPr/><w:r><w:rPr/><w:t xml:space="preserve">Hasil di luar target (≥ 95% (umum), ≥ 99.9% (mission-critical)). Trend memburuk atau jauh dari standar industri.</w:t></w:r></w:p></w:tc><w:tc><w:tcPr><w:tcW w:w="3500" w:type="dxa"/><w:vAlign w:val="top"/><w:noWrap/></w:tcPr><w:p><w:pPr/><w:r><w:rPr/><w:t xml:space="preserve">Aktifkan root cause analysis. Stop kampanye / proses jika dampak material. Eskalasi ke pemangku kepentingan.</w:t></w:r></w:p></w:tc></w:tr><w:tr><w:trPr/><w:tc><w:tcPr><w:tcW w:w="1800" w:type="dxa"/><w:vAlign w:val="center"/><w:shd w:val="clear" w:fill="FEF3C7"/><w:noWrap/></w:tcPr><w:p><w:pPr/><w:r><w:rPr><w:color w:val="92400E"/><w:b w:val="1"/><w:bCs w:val="1"/></w:rPr><w:t xml:space="preserve">Borderline</w:t></w:r></w:p></w:tc><w:tc><w:tcPr><w:tcW w:w="3700" w:type="dxa"/><w:vAlign w:val="top"/><w:noWrap/></w:tcPr><w:p><w:pPr/><w:r><w:rPr/><w:t xml:space="preserve">Hasil dekat target, tapi trend tidak konsisten — risk-off setiap saat.</w:t></w:r></w:p></w:tc><w:tc><w:tcPr><w:tcW w:w="3500" w:type="dxa"/><w:vAlign w:val="top"/><w:noWrap/></w:tcPr><w:p><w:pPr/><w:r><w:rPr/><w:t xml:space="preserve">Identifikasi 2–3 driver utama. Lakukan perbaikan iteratif sebelum jadi off-target permanen.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On-target</w:t></w:r></w:p></w:tc><w:tc><w:tcPr><w:tcW w:w="3700" w:type="dxa"/><w:vAlign w:val="top"/><w:noWrap/></w:tcPr><w:p><w:pPr/><w:r><w:rPr/><w:t xml:space="preserve">Hasil memenuhi target (≥ 95% (umum), ≥ 99.9% (mission-critical)). Trend stabil atau membaik.</w:t></w:r></w:p></w:tc><w:tc><w:tcPr><w:tcW w:w="3500" w:type="dxa"/><w:vAlign w:val="top"/><w:noWrap/></w:tcPr><w:p><w:pPr/><w:r><w:rPr/><w:t xml:space="preserve">Pertahankan praktik baik. Dokumentasikan SOP dan transfer ke unit / shift lain.</w:t></w:r></w:p></w:tc></w:tr><w:tr><w:trPr/><w:tc><w:tcPr><w:tcW w:w="1800" w:type="dxa"/><w:vAlign w:val="center"/><w:shd w:val="clear" w:fill="DCFCE7"/><w:noWrap/></w:tcPr><w:p><w:pPr/><w:r><w:rPr><w:color w:val="166534"/><w:b w:val="1"/><w:bCs w:val="1"/></w:rPr><w:t xml:space="preserve">Excellent</w:t></w:r></w:p></w:tc><w:tc><w:tcPr><w:tcW w:w="3700" w:type="dxa"/><w:vAlign w:val="top"/><w:noWrap/></w:tcPr><w:p><w:pPr/><w:r><w:rPr/><w:t xml:space="preserve">Hasil konsisten melampaui target. Trend positif berlanjut.</w:t></w:r></w:p></w:tc><w:tc><w:tcPr><w:tcW w:w="3500" w:type="dxa"/><w:vAlign w:val="top"/><w:noWrap/></w:tcPr><w:p><w:pPr/><w:r><w:rPr/><w:t xml:space="preserve">Bagikan praktik baik sebagai best practice internal. Pertimbangkan stretch target.</w:t></w:r></w:p></w:tc></w:tr></w:tbl><w:p/><w:p><w:pPr/><w:r><w:rPr><w:color w:val="1A2744"/><w:sz w:val="28"/><w:szCs w:val="28"/><w:b w:val="1"/><w:bCs w:val="1"/></w:rPr><w:t xml:space="preserve">Variasi Pengukuran & Best Practice</w:t></w:r></w:p><w:tbl><w:tblGrid><w:gridCol w:w="2700" w:type="dxa"/><w:gridCol w:w="63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2700" w:type="dxa"/><w:vAlign w:val="center"/><w:noWrap/></w:tcPr><w:p><w:pPr/><w:r><w:rPr><w:b w:val="1"/><w:bCs w:val="1"/><w:shd w:val="clear" w:fill="FCE4EC"/></w:rPr><w:t xml:space="preserve">Dimensi</w:t></w:r></w:p></w:tc><w:tc><w:tcPr><w:tcW w:w="6300" w:type="dxa"/><w:vAlign w:val="center"/><w:noWrap/></w:tcPr><w:p><w:pPr/><w:r><w:rPr><w:b w:val="1"/><w:bCs w:val="1"/><w:shd w:val="clear" w:fill="FCE4EC"/></w:rPr><w:t xml:space="preserve">Mengapa Berguna</w:t></w:r></w:p></w:tc></w:tr><w:tr><w:trPr/><w:tc><w:tcPr><w:tcW w:w="2700" w:type="dxa"/><w:vAlign w:val="top"/><w:noWrap/></w:tcPr><w:p><w:pPr/><w:r><w:rPr><w:b w:val="1"/><w:bCs w:val="1"/></w:rPr><w:t xml:space="preserve">Per Lini / Site</w:t></w:r></w:p></w:tc><w:tc><w:tcPr><w:tcW w:w="6300" w:type="dxa"/><w:vAlign w:val="top"/><w:noWrap/></w:tcPr><w:p><w:pPr/><w:r><w:rPr/><w:t xml:space="preserve">Bandingkan performa lini A vs B vs C. Identifikasi best practice untuk replikasi.</w:t></w:r></w:p></w:tc></w:tr><w:tr><w:trPr/><w:tc><w:tcPr><w:tcW w:w="2700" w:type="dxa"/><w:vAlign w:val="top"/><w:noWrap/></w:tcPr><w:p><w:pPr/><w:r><w:rPr><w:b w:val="1"/><w:bCs w:val="1"/></w:rPr><w:t xml:space="preserve">Per Shift</w:t></w:r></w:p></w:tc><w:tc><w:tcPr><w:tcW w:w="6300" w:type="dxa"/><w:vAlign w:val="top"/><w:noWrap/></w:tcPr><w:p><w:pPr/><w:r><w:rPr/><w:t xml:space="preserve">Pagi · Siang · Malam. Pola sering berbeda — masalah staffing, fatigue, atau supervisi.</w:t></w:r></w:p></w:tc></w:tr><w:tr><w:trPr/><w:tc><w:tcPr><w:tcW w:w="2700" w:type="dxa"/><w:vAlign w:val="top"/><w:noWrap/></w:tcPr><w:p><w:pPr/><w:r><w:rPr><w:b w:val="1"/><w:bCs w:val="1"/></w:rPr><w:t xml:space="preserve">Per Produk / SKU</w:t></w:r></w:p></w:tc><w:tc><w:tcPr><w:tcW w:w="6300" w:type="dxa"/><w:vAlign w:val="top"/><w:noWrap/></w:tcPr><w:p><w:pPr/><w:r><w:rPr/><w:t xml:space="preserve">Kompleksitas produk berbeda → KPI berbeda. Penting untuk capacity planning.</w:t></w:r></w:p></w:tc></w:tr><w:tr><w:trPr/><w:tc><w:tcPr><w:tcW w:w="2700" w:type="dxa"/><w:vAlign w:val="top"/><w:noWrap/></w:tcPr><w:p><w:pPr/><w:r><w:rPr><w:b w:val="1"/><w:bCs w:val="1"/></w:rPr><w:t xml:space="preserve">Rolling Window</w:t></w:r></w:p></w:tc><w:tc><w:tcPr><w:tcW w:w="6300" w:type="dxa"/><w:vAlign w:val="top"/><w:noWrap/></w:tcPr><w:p><w:pPr/><w:r><w:rPr/><w:t xml:space="preserve">7-hari, 30-hari, 90-hari rolling. Lebih actionable dari snapshot bulanan.</w:t></w:r></w:p></w:tc></w:tr></w:tbl><w:p/><w:p><w:pPr/><w:r><w:rPr><w:color w:val="1A2744"/><w:sz w:val="28"/><w:szCs w:val="28"/><w:b w:val="1"/><w:bCs w:val="1"/></w:rPr><w:t xml:space="preserve">Kesalahan Umum & Solusinya</w:t></w:r></w:p><w:tbl><w:tblGrid><w:gridCol w:w="4300" w:type="dxa"/><w:gridCol w:w="4700" w:type="dxa"/></w:tblGrid><w:tblPr><w:tblW w:w="0" w:type="auto"/><w:tblLayout w:type="autofit"/><w:tblCellMar><w:top w:w="80" w:type="dxa"/><w:left w:w="80" w:type="dxa"/><w:right w:w="80" w:type="dxa"/><w:bottom w:w="80" w:type="dxa"/></w:tblCellMar><w:tblBorders><w:top w:val="single" w:sz="4" w:color="E5E7EB"/><w:left w:val="single" w:sz="4" w:color="E5E7EB"/><w:right w:val="single" w:sz="4" w:color="E5E7EB"/><w:bottom w:val="single" w:sz="4" w:color="E5E7EB"/><w:insideH w:val="single" w:sz="4" w:color="E5E7EB"/><w:insideV w:val="single" w:sz="4" w:color="E5E7EB"/></w:tblBorders></w:tblPr><w:tr><w:trPr/><w:tc><w:tcPr><w:tcW w:w="4300" w:type="dxa"/><w:vAlign w:val="center"/><w:noWrap/></w:tcPr><w:p><w:pPr/><w:r><w:rPr><w:b w:val="1"/><w:bCs w:val="1"/><w:shd w:val="clear" w:fill="FCE4EC"/></w:rPr><w:t xml:space="preserve">Kesalahan</w:t></w:r></w:p></w:tc><w:tc><w:tcPr><w:tcW w:w="4700" w:type="dxa"/><w:vAlign w:val="center"/><w:noWrap/></w:tcPr><w:p><w:pPr/><w:r><w:rPr><w:b w:val="1"/><w:bCs w:val="1"/><w:shd w:val="clear" w:fill="FCE4EC"/></w:rPr><w:t xml:space="preserve">Solusi</w:t></w:r></w:p></w:tc></w:tr><w:tr><w:trPr/><w:tc><w:tcPr><w:tcW w:w="4300" w:type="dxa"/><w:vAlign w:val="top"/><w:noWrap/></w:tcPr><w:p><w:pPr/><w:r><w:rPr/><w:t xml:space="preserve">Hanya melihat angka agregat tanpa drill-down</w:t></w:r></w:p></w:tc><w:tc><w:tcPr><w:tcW w:w="4700" w:type="dxa"/><w:vAlign w:val="top"/><w:noWrap/></w:tcPr><w:p><w:pPr/><w:r><w:rPr/><w:t xml:space="preserve">Bagi per shift / lini / produk untuk identifikasi root cause.</w:t></w:r></w:p></w:tc></w:tr><w:tr><w:trPr/><w:tc><w:tcPr><w:tcW w:w="4300" w:type="dxa"/><w:vAlign w:val="top"/><w:noWrap/></w:tcPr><w:p><w:pPr/><w:r><w:rPr/><w:t xml:space="preserve">Definisi metric berbeda antar unit pelapor</w:t></w:r></w:p></w:tc><w:tc><w:tcPr><w:tcW w:w="4700" w:type="dxa"/><w:vAlign w:val="top"/><w:noWrap/></w:tcPr><w:p><w:pPr/><w:r><w:rPr/><w:t xml:space="preserve">Tetapkan glossarium tertulis dan owner data definition.</w:t></w:r></w:p></w:tc></w:tr><w:tr><w:trPr/><w:tc><w:tcPr><w:tcW w:w="4300" w:type="dxa"/><w:vAlign w:val="top"/><w:noWrap/></w:tcPr><w:p><w:pPr/><w:r><w:rPr/><w:t xml:space="preserve">Manual entry data → tidak real-time + error tinggi</w:t></w:r></w:p></w:tc><w:tc><w:tcPr><w:tcW w:w="4700" w:type="dxa"/><w:vAlign w:val="top"/><w:noWrap/></w:tcPr><w:p><w:pPr/><w:r><w:rPr/><w:t xml:space="preserve">Otomatisasi via IoT, SCADA, atau MES. Reduce manual touchpoint.</w:t></w:r></w:p></w:tc></w:tr><w:tr><w:trPr/><w:tc><w:tcPr><w:tcW w:w="4300" w:type="dxa"/><w:vAlign w:val="top"/><w:noWrap/></w:tcPr><w:p><w:pPr/><w:r><w:rPr/><w:t xml:space="preserve">Target tidak di-review — relevan tahun lalu, tidak relevan sekarang</w:t></w:r></w:p></w:tc><w:tc><w:tcPr><w:tcW w:w="4700" w:type="dxa"/><w:vAlign w:val="top"/><w:noWrap/></w:tcPr><w:p><w:pPr/><w:r><w:rPr/><w:t xml:space="preserve">Review target tiap tahun saat strategic planning.</w:t></w:r></w:p></w:tc></w:tr><w:tr><w:trPr/><w:tc><w:tcPr><w:tcW w:w="4300" w:type="dxa"/><w:vAlign w:val="top"/><w:noWrap/></w:tcPr><w:p><w:pPr/><w:r><w:rPr/><w:t xml:space="preserve">KPI dijadikan alat blaming, bukan improvement</w:t></w:r></w:p></w:tc><w:tc><w:tcPr><w:tcW w:w="4700" w:type="dxa"/><w:vAlign w:val="top"/><w:noWrap/></w:tcPr><w:p><w:pPr/><w:r><w:rPr/><w:t xml:space="preserve">Konteks "blameless" — fokus sistem & proses, bukan individu.</w:t></w:r></w:p></w:tc></w:tr></w:tbl><w:p/><w:p><w:pPr/><w:r><w:rPr><w:color w:val="1A2744"/><w:sz w:val="28"/><w:szCs w:val="28"/><w:b w:val="1"/><w:bCs w:val="1"/></w:rPr><w:t xml:space="preserve">Tindakan Berdasarkan Status</w:t></w:r></w:p><w:p><w:pPr><w:spacing w:before="80"/></w:pPr><w:r><w:rPr><w:color w:val="991B1B"/><w:b w:val="1"/><w:bCs w:val="1"/></w:rPr><w:t xml:space="preserve">Off-target  </w:t></w:r><w:r><w:rPr><w:color w:val="6B7280"/><w:i w:val="1"/><w:iCs w:val="1"/></w:rPr><w:t xml:space="preserve">Hasil di luar target / trend memburuk</w:t></w:r></w:p><w:p><w:pPr/><w:r><w:rPr/><w:t xml:space="preserve">Operations review urgent dengan stakeholder lintas-fungsi. Lakukan 5 Why / fishbone untuk pelanggaran SLA paling besar. Tetapkan task force dengan SLA recovery 14–30 hari.</w:t></w:r></w:p><w:p><w:pPr><w:spacing w:before="80"/></w:pPr><w:r><w:rPr><w:color w:val="92400E"/><w:b w:val="1"/><w:bCs w:val="1"/></w:rPr><w:t xml:space="preserve">Borderline  </w:t></w:r><w:r><w:rPr><w:color w:val="6B7280"/><w:i w:val="1"/><w:iCs w:val="1"/></w:rPr><w:t xml:space="preserve">Mendekati target, trend tidak konsisten</w:t></w:r></w:p><w:p><w:pPr/><w:r><w:rPr/><w:t xml:space="preserve">Lakukan kaizen event di bottleneck terbesar. Tinjau capacity vs demand forecast, tambah resource jika diperlukan, atau revisi commitment SLA dengan stakeholder.</w:t></w:r></w:p><w:p><w:pPr><w:spacing w:before="80"/></w:pPr><w:r><w:rPr><w:color w:val="166534"/><w:b w:val="1"/><w:bCs w:val="1"/></w:rPr><w:t xml:space="preserve">On-target / Excellent  </w:t></w:r><w:r><w:rPr><w:color w:val="6B7280"/><w:i w:val="1"/><w:iCs w:val="1"/></w:rPr><w:t xml:space="preserve">Memenuhi atau melampaui target</w:t></w:r></w:p><w:p><w:pPr/><w:r><w:rPr/><w:t xml:space="preserve">Konsolidasi SOP & standard work — pastikan praktik baik terdokumentasi dan ditransfer ke shift / lini lain. Eksplor automation untuk mempertahankan tanpa naik biaya operasional.</w:t></w:r></w:p><w:p/><w:p><w:pPr/><w:r><w:rPr><w:color w:val="1A2744"/><w:sz w:val="28"/><w:szCs w:val="28"/><w:b w:val="1"/><w:bCs w:val="1"/></w:rPr><w:t xml:space="preserve">KPI Pendamping</w:t></w:r></w:p><w:p><w:pPr/><w:r><w:rPr/><w:t xml:space="preserve">KPI ini sebaiknya tidak berdiri sendiri. Padukan dengan KPI lain di kategori yang sama:</w:t></w:r></w:p><w:p><w:pPr/><w:r><w:rPr><w:color w:val="1A2744"/><w:b w:val="1"/><w:bCs w:val="1"/></w:rPr><w:t xml:space="preserve">KPI Backlog Reduction Rate</w:t></w:r><w:r><w:rPr><w:color w:val="6B7280"/><w:sz w:val="18"/><w:szCs w:val="18"/></w:rPr><w:t xml:space="preserve"> — Tingkat penurunan pekerjaan tertunggak per periode.</w:t></w:r></w:p><w:p><w:pPr/><w:r><w:rPr><w:color w:val="1A2744"/><w:b w:val="1"/><w:bCs w:val="1"/></w:rPr><w:t xml:space="preserve">KPI Operational Cost per Unit</w:t></w:r><w:r><w:rPr><w:color w:val="6B7280"/><w:sz w:val="18"/><w:szCs w:val="18"/></w:rPr><w:t xml:space="preserve"> — Total biaya operasional rata-rata untuk menghasilkan satu unit output.</w:t></w:r></w:p><w:p><w:pPr/><w:r><w:rPr><w:color w:val="1A2744"/><w:b w:val="1"/><w:bCs w:val="1"/></w:rPr><w:t xml:space="preserve">KPI Capacity Utilization Rate</w:t></w:r><w:r><w:rPr><w:color w:val="6B7280"/><w:sz w:val="18"/><w:szCs w:val="18"/></w:rPr><w:t xml:space="preserve"> — Rasio output aktual terhadap kapasitas maksimum operasional.</w:t></w:r></w:p><w:p><w:pPr/><w:r><w:rPr><w:color w:val="1A2744"/><w:b w:val="1"/><w:bCs w:val="1"/></w:rPr><w:t xml:space="preserve">KPI SLA Compliance Rate</w:t></w:r><w:r><w:rPr><w:color w:val="6B7280"/><w:sz w:val="18"/><w:szCs w:val="18"/></w:rPr><w:t xml:space="preserve"> — Persentase komitmen Service Level Agreement yang dipenuhi.</w:t></w:r></w:p><w:p/><w:p><w:pPr/><w:r><w:rPr><w:color w:val="1A2744"/><w:sz w:val="28"/><w:szCs w:val="28"/><w:b w:val="1"/><w:bCs w:val="1"/></w:rPr><w:t xml:space="preserve">Checklist Implementasi</w:t></w:r></w:p><w:p><w:pPr><w:numPr><w:ilvl w:val="0"/><w:numId w:val="1"/></w:numPr></w:pPr><w:r><w:rPr/><w:t xml:space="preserve">Tetapkan baseline. Ukur 1–2 periode sebelum set target — jangan langsung set target ambisius tanpa tahu starting point.</w:t></w:r></w:p><w:p><w:pPr><w:numPr><w:ilvl w:val="0"/><w:numId w:val="1"/></w:numPr></w:pPr><w:r><w:rPr/><w:t xml:space="preserve">Definisikan formula tertulis. Tuliskan rumus, sumber data, exclusion rule di glossarium yang dapat diakses tim.</w:t></w:r></w:p><w:p><w:pPr><w:numPr><w:ilvl w:val="0"/><w:numId w:val="1"/></w:numPr></w:pPr><w:r><w:rPr/><w:t xml:space="preserve">Otomatisasi pengumpulan data. Manual entry = rentan error & delay. Pakai sistem sumber otoritatif dengan ETL / sync rutin.</w:t></w:r></w:p><w:p><w:pPr><w:numPr><w:ilvl w:val="0"/><w:numId w:val="1"/></w:numPr></w:pPr><w:r><w:rPr/><w:t xml:space="preserve">Set cadence review. Frekuensi pengukuran = Bulanan. Pastikan ada slot rapat rutin untuk membahas hasil dan action plan.</w:t></w:r></w:p><w:p><w:pPr><w:numPr><w:ilvl w:val="0"/><w:numId w:val="1"/></w:numPr></w:pPr><w:r><w:rPr/><w:t xml:space="preserve">Action SLA. Setiap deviasi > threshold tertentu harus memicu action plan. Tanpa SLA = monitoring tanpa improvement.</w:t></w:r></w:p><w:p><w:pPr><w:numPr><w:ilvl w:val="0"/><w:numId w:val="1"/></w:numPr></w:pPr><w:r><w:rPr/><w:t xml:space="preserve">Komunikasikan ke tim. Bagikan hasil + tindakan yang akan diambil. Karyawan yang tahu konteks lebih engaged dan kolaboratif.</w:t></w:r></w:p><w:p><w:pPr><w:numPr><w:ilvl w:val="0"/><w:numId w:val="1"/></w:numPr></w:pPr><w:r><w:rPr/><w:t xml:space="preserve">Iterasi target tahunan. Target tahun lalu mungkin tidak relevan tahun ini. Adjust ke realitas bisnis saat strategic planning.</w:t></w:r></w:p><w:p/><w:p><w:pPr><w:spacing w:before="200"/></w:pPr><w:r><w:rPr><w:color w:val="701A75"/><w:i w:val="1"/><w:iCs w:val="1"/></w:rPr><w:t xml:space="preserve">Tools: Tools rekomendasi: Spreadsheet untuk start. Skala menengah: Looker Studio / Power BI dashboard otomatis. Skala enterprise: MES (Manufacturing Execution System) seperti Wonderware, Aveva, atau cloud BI dengan ETL real-time.</w:t></w:r></w:p><w:sectPr><w:footerReference w:type="default" r:id="rId7"/><w:pgSz w:orient="portrait" w:w="11905.511811023622" w:h="16837.79527559055"/><w:pgMar w:top="1134" w:right="1134" w:bottom="1134" w:left="1134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CA3AF"/>
        <w:sz w:val="16"/>
        <w:szCs w:val="16"/>
      </w:rPr>
      <w:t xml:space="preserve">KPI-0017 · 18/01/2026 · GajiHub KPI — kpi.gajihub.com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1FD1E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2026-05-07T13:17:22+00:00</dcterms:created>
  <dcterms:modified xsi:type="dcterms:W3CDTF">2026-05-07T13:17:22+00:00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