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Backlog Reduction Rate</w:t></w:r></w:p><w:p><w:pPr><w:jc w:val="center"/></w:pPr><w:r><w:rPr><w:color w:val="4B5563"/><w:i w:val="1"/><w:iCs w:val="1"/></w:rPr><w:t xml:space="preserve">Tingkat penurunan pekerjaan tertunggak per periode.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((Backlog awal − Backlog akhir) / Backlog awal)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Positif (penurunan); ≥ 5% per minggu untuk recovery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Operations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Backlog Reduction Rate mengukur seberapa cepat tim menyelesaikan pekerjaan tertunggak (backlog) dibanding intake baru. Rate positif berarti backlog menyusut; negatif berarti tim makin tertinggal — peringatan kapasitas.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((Backlog awal − Backlog akhir) / Backlog awal) × 100%.</w:t></w:r></w:p><w:p><w:pPr><w:numPr><w:ilvl w:val="0"/><w:numId w:val="1"/></w:numPr></w:pPr><w:r><w:rPr/><w:t xml:space="preserve">Bandingkan hasil dengan target Positif (penurunan); ≥ 5% per minggu untuk recovery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Positif (penurunan); ≥ 5% per minggu untuk recovery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(Positif (penurunan); ≥ 5% per minggu untuk recovery).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(Positif (penurunan); ≥ 5% per minggu untuk recovery).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Order Fulfillment Cycle Time</w:t></w:r><w:r><w:rPr><w:color w:val="6B7280"/><w:sz w:val="18"/><w:szCs w:val="18"/></w:rPr><w:t xml:space="preserve"> — Total waktu sejak order diterima hingga selesai dikirim ke pelanggan.</w:t></w:r></w:p><w:p><w:pPr/><w:r><w:rPr><w:color w:val="1A2744"/><w:b w:val="1"/><w:bCs w:val="1"/></w:rPr><w:t xml:space="preserve">KPI First Time Right (FTR)</w:t></w:r><w:r><w:rPr><w:color w:val="6B7280"/><w:sz w:val="18"/><w:szCs w:val="18"/></w:rPr><w:t xml:space="preserve"> — Persentase output selesai benar di percobaan pertama tanpa rework.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Asset Uptime</w:t></w:r><w:r><w:rPr><w:color w:val="6B7280"/><w:sz w:val="18"/><w:szCs w:val="18"/></w:rPr><w:t xml:space="preserve"> — Persentase waktu aset / mesin operasional dibanding total waktu yang dibutuhkan.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KPI-0020 · 09/03/2026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5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2026-05-07T13:17:30+00:00</dcterms:created>
  <dcterms:modified xsi:type="dcterms:W3CDTF">2026-05-07T13:17:30+00:00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