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Net Profit Margin</w:t></w:r></w:p><w:p><w:pPr><w:jc w:val="center"/></w:pPr><w:r><w:rPr><w:color w:val="4B5563"/><w:i w:val="1"/><w:iCs w:val="1"/></w:rPr><w:t xml:space="preserve">Persentase laba bersih terhadap pendapatan total. Efisiensi end-to-end perusahaan.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(Laba Bersih / Pendapatan)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/ 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Industry-specific (umum 5–20%)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CFO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Net Profit Margin mengukur laba bersih (setelah seluruh biaya, bunga, dan pajak) terhadap pendapatan total. KPI bottom line yang paling sering dilaporkan ke pemegang saham.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/ 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(Laba Bersih / Pendapatan) × 100%.</w:t></w:r></w:p><w:p><w:pPr><w:numPr><w:ilvl w:val="0"/><w:numId w:val="1"/></w:numPr></w:pPr><w:r><w:rPr/><w:t xml:space="preserve">Bandingkan hasil dengan target Industry-specific (umum 5–20%)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/ Triwulanan) didapat data: pembilang = 92, penyebut = 100. Maka Hasil = (92 / 100) × 100% = 92%. Bandingkan dengan target Industry-specific (umum 5–20%)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(Industry-specific (umum 5–20%)).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(Industry-specific (umum 5–20%)).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Gross Profit Margin</w:t></w:r><w:r><w:rPr><w:color w:val="6B7280"/><w:sz w:val="18"/><w:szCs w:val="18"/></w:rPr><w:t xml:space="preserve"> — Persentase laba kotor terhadap pendapatan. Indikator efisiensi produksi & pricing.</w:t></w:r></w:p><w:p><w:pPr/><w:r><w:rPr><w:color w:val="1A2744"/><w:b w:val="1"/><w:bCs w:val="1"/></w:rPr><w:t xml:space="preserve">KPI Debt to Equity Ratio (DER)</w:t></w:r><w:r><w:rPr><w:color w:val="6B7280"/><w:sz w:val="18"/><w:szCs w:val="18"/></w:rPr><w:t xml:space="preserve"> — Rasio total utang terhadap total ekuitas. Indikator leverage dan risiko finansial.</w:t></w:r></w:p><w:p><w:pPr/><w:r><w:rPr><w:color w:val="1A2744"/><w:b w:val="1"/><w:bCs w:val="1"/></w:rPr><w:t xml:space="preserve">KPI Return on Investment (ROI)</w:t></w:r><w:r><w:rPr><w:color w:val="6B7280"/><w:sz w:val="18"/><w:szCs w:val="18"/></w:rPr><w:t xml:space="preserve"> — Persentase imbal hasil suatu investasi atau proyek.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/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KPI-0022 · 23/01/2026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43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2026-05-07T13:17:33+00:00</dcterms:created>
  <dcterms:modified xsi:type="dcterms:W3CDTF">2026-05-07T13:17:33+00:00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