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EBITDA Margin</w:t></w:r></w:p><w:p><w:pPr><w:jc w:val="center"/></w:pPr><w:r><w:rPr><w:color w:val="4B5563"/><w:i w:val="1"/><w:iCs w:val="1"/></w:rPr><w:t xml:space="preserve">Margin laba sebelum bunga, pajak, depresiasi, dan amortisasi. Proxy operating cash flow.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(EBITDA / Pendapatan)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15–20% (industry varies)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CFO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EBITDA (Earnings Before Interest, Taxes, Depreciation, Amortization) Margin menormalisasi profitabilitas operasional dengan menghilangkan struktur modal dan non-cash items, sehingga lebih comparable lintas perusahaan.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(EBITDA / Pendapatan) × 100%.</w:t></w:r></w:p><w:p><w:pPr><w:numPr><w:ilvl w:val="0"/><w:numId w:val="1"/></w:numPr></w:pPr><w:r><w:rPr/><w:t xml:space="preserve">Bandingkan hasil dengan target ≥ 15–20% (industry varies)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(Triwulanan) didapat data: pembilang = 92, penyebut = 100. Maka Hasil = (92 / 100) × 100% = 92%. Bandingkan dengan target ≥ 15–20% (industry varies)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15–20% (industry varies)).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15–20% (industry varies)).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Working Capital Turnover</w:t></w:r><w:r><w:rPr><w:color w:val="6B7280"/><w:sz w:val="18"/><w:szCs w:val="18"/></w:rPr><w:t xml:space="preserve"> — Efektivitas penggunaan modal kerja untuk menghasilkan pendapatan.</w:t></w:r></w:p><w:p><w:pPr/><w:r><w:rPr><w:color w:val="1A2744"/><w:b w:val="1"/><w:bCs w:val="1"/></w:rPr><w:t xml:space="preserve">KPI Days Sales Outstanding (DSO)</w:t></w:r><w:r><w:rPr><w:color w:val="6B7280"/><w:sz w:val="18"/><w:szCs w:val="18"/></w:rPr><w:t xml:space="preserve"> — Rata-rata jumlah hari piutang tertagih dari penjualan kredit.</w:t></w:r></w:p><w:p><w:pPr/><w:r><w:rPr><w:color w:val="1A2744"/><w:b w:val="1"/><w:bCs w:val="1"/></w:rPr><w:t xml:space="preserve">KPI Operating Expense Ratio (OER)</w:t></w:r><w:r><w:rPr><w:color w:val="6B7280"/><w:sz w:val="18"/><w:szCs w:val="18"/></w:rPr><w:t xml:space="preserve"> — Rasio total biaya operasional terhadap pendapatan.</w:t></w:r></w:p><w:p><w:pPr/><w:r><w:rPr><w:color w:val="1A2744"/><w:b w:val="1"/><w:bCs w:val="1"/></w:rPr><w:t xml:space="preserve">KPI Return on Investment (ROI)</w:t></w:r><w:r><w:rPr><w:color w:val="6B7280"/><w:sz w:val="18"/><w:szCs w:val="18"/></w:rPr><w:t xml:space="preserve"> — Persentase imbal hasil suatu investasi atau proyek.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KPI-0023 · 12/04/2026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C0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2026-05-07T13:17:35+00:00</dcterms:created>
  <dcterms:modified xsi:type="dcterms:W3CDTF">2026-05-07T13:17:35+00:00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