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Keuangan</w:t></w:r></w:p><w:p><w:pPr><w:jc w:val="center"/><w:spacing w:after="100"/></w:pPr><w:r><w:rPr><w:color w:val="1A2744"/><w:sz w:val="36"/><w:szCs w:val="36"/><w:b w:val="1"/><w:bCs w:val="1"/></w:rPr><w:t xml:space="preserve">KPI Working Capital Turnover</w:t></w:r></w:p><w:p><w:pPr><w:jc w:val="center"/></w:pPr><w:r><w:rPr><w:color w:val="4B5563"/><w:i w:val="1"/><w:iCs w:val="1"/></w:rPr><w:t xml:space="preserve">Efektivitas penggunaan modal kerja untuk menghasilkan pendapatan.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Pendapatan / Working Capital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Kali (turn) per tahun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Triwulanan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5x (umum, industry varies)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CFO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GL / ERP (general ledger), neraca, laporan laba rugi, AR/AP aging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Working Capital Turnover membagi pendapatan dengan working capital (aset lancar − liabilitas lancar). Berapa kali modal kerja "berputar" menghasilkan revenue dalam satu periode. Semakin tinggi, semakin produktif modal kerja.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kesehatan finansial: likuiditas, profitabilitas, leverage, dan efisiensi modal.</w:t></w:r></w:p><w:p><w:pPr><w:numPr><w:ilvl w:val="0"/><w:numId w:val="1"/></w:numPr></w:pPr><w:r><w:rPr/><w:t xml:space="preserve">Bahan pelaporan wajib ke pemegang saham, kreditor, OJK, dan auditor pajak.</w:t></w:r></w:p><w:p><w:pPr><w:numPr><w:ilvl w:val="0"/><w:numId w:val="1"/></w:numPr></w:pPr><w:r><w:rPr/><w:t xml:space="preserve">Trigger early warning untuk risiko cash flow, working capital, atau insolvensi.</w:t></w:r></w:p><w:p><w:pPr><w:numPr><w:ilvl w:val="0"/><w:numId w:val="1"/></w:numPr></w:pPr><w:r><w:rPr/><w:t xml:space="preserve">Dasar pengambilan keputusan strategis — ekspansi, divestasi, akuisisi, atau restrukturisasi.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(Triwulanan).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Pendapatan / Working Capital.</w:t></w:r></w:p><w:p><w:pPr><w:numPr><w:ilvl w:val="0"/><w:numId w:val="1"/></w:numPr></w:pPr><w:r><w:rPr/><w:t xml:space="preserve">Bandingkan hasil dengan target ≥ 5x (umum, industry varies)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numerator = 5.400 dan denominator = 1.800. Hasil = 5.400 / 1.800 = 3.0x. Bandingkan dengan target ≥ 5x (umum, industry varies) dan trend YoY — perubahan dalam 3 periode berturut-turut lebih meaningful.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5x (umum, industry varies)).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5x (umum, industry varies)).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Segmen Bisnis</w:t></w:r></w:p></w:tc><w:tc><w:tcPr><w:tcW w:w="6300" w:type="dxa"/><w:vAlign w:val="top"/><w:noWrap/></w:tcPr><w:p><w:pPr/><w:r><w:rPr/><w:t xml:space="preserve">Bagi per business unit / produk / region untuk attribution yang akurat.</w:t></w:r></w:p></w:tc></w:tr><w:tr><w:trPr/><w:tc><w:tcPr><w:tcW w:w="2700" w:type="dxa"/><w:vAlign w:val="top"/><w:noWrap/></w:tcPr><w:p><w:pPr/><w:r><w:rPr><w:b w:val="1"/><w:bCs w:val="1"/></w:rPr><w:t xml:space="preserve">Year-over-Year (YoY)</w:t></w:r></w:p></w:tc><w:tc><w:tcPr><w:tcW w:w="6300" w:type="dxa"/><w:vAlign w:val="top"/><w:noWrap/></w:tcPr><w:p><w:pPr/><w:r><w:rPr/><w:t xml:space="preserve">Bandingkan periode sama tahun lalu untuk netralisir musiman.</w:t></w:r></w:p></w:tc></w:tr><w:tr><w:trPr/><w:tc><w:tcPr><w:tcW w:w="2700" w:type="dxa"/><w:vAlign w:val="top"/><w:noWrap/></w:tcPr><w:p><w:pPr/><w:r><w:rPr><w:b w:val="1"/><w:bCs w:val="1"/></w:rPr><w:t xml:space="preserve">Quarter-over-Quarter (QoQ)</w:t></w:r></w:p></w:tc><w:tc><w:tcPr><w:tcW w:w="6300" w:type="dxa"/><w:vAlign w:val="top"/><w:noWrap/></w:tcPr><w:p><w:pPr/><w:r><w:rPr/><w:t xml:space="preserve">Trend lebih pendek — relevant untuk fast-moving business.</w:t></w:r></w:p></w:tc></w:tr><w:tr><w:trPr/><w:tc><w:tcPr><w:tcW w:w="2700" w:type="dxa"/><w:vAlign w:val="top"/><w:noWrap/></w:tcPr><w:p><w:pPr/><w:r><w:rPr><w:b w:val="1"/><w:bCs w:val="1"/></w:rPr><w:t xml:space="preserve">Trailing 12 Months (TTM)</w:t></w:r></w:p></w:tc><w:tc><w:tcPr><w:tcW w:w="6300" w:type="dxa"/><w:vAlign w:val="top"/><w:noWrap/></w:tcPr><w:p><w:pPr/><w:r><w:rPr/><w:t xml:space="preserve">Smooth out volatilitas bulanan, sering dipakai untuk valuation.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Hanya melihat snapshot end-of-period — tidak proaktif</w:t></w:r></w:p></w:tc><w:tc><w:tcPr><w:tcW w:w="4700" w:type="dxa"/><w:vAlign w:val="top"/><w:noWrap/></w:tcPr><w:p><w:pPr/><w:r><w:rPr/><w:t xml:space="preserve">Pantau trend bulanan + forecast 13-week rolling untuk likuiditas.</w:t></w:r></w:p></w:tc></w:tr><w:tr><w:trPr/><w:tc><w:tcPr><w:tcW w:w="4300" w:type="dxa"/><w:vAlign w:val="top"/><w:noWrap/></w:tcPr><w:p><w:pPr/><w:r><w:rPr/><w:t xml:space="preserve">Compare lintas-industri tanpa adjust untuk struktur bisnis</w:t></w:r></w:p></w:tc><w:tc><w:tcPr><w:tcW w:w="4700" w:type="dxa"/><w:vAlign w:val="top"/><w:noWrap/></w:tcPr><w:p><w:pPr/><w:r><w:rPr/><w:t xml:space="preserve">Pakai benchmark dari industri sejenis dengan ukuran serupa.</w:t></w:r></w:p></w:tc></w:tr><w:tr><w:trPr/><w:tc><w:tcPr><w:tcW w:w="4300" w:type="dxa"/><w:vAlign w:val="top"/><w:noWrap/></w:tcPr><w:p><w:pPr/><w:r><w:rPr/><w:t xml:space="preserve">Definisi non-GAAP yang inkonsisten antar periode</w:t></w:r></w:p></w:tc><w:tc><w:tcPr><w:tcW w:w="4700" w:type="dxa"/><w:vAlign w:val="top"/><w:noWrap/></w:tcPr><w:p><w:pPr/><w:r><w:rPr/><w:t xml:space="preserve">Tetapkan kebijakan akuntansi tertulis dan disclose ke auditor.</w:t></w:r></w:p></w:tc></w:tr><w:tr><w:trPr/><w:tc><w:tcPr><w:tcW w:w="4300" w:type="dxa"/><w:vAlign w:val="top"/><w:noWrap/></w:tcPr><w:p><w:pPr/><w:r><w:rPr/><w:t xml:space="preserve">Mengabaikan working capital saat fokus profitabilitas</w:t></w:r></w:p></w:tc><w:tc><w:tcPr><w:tcW w:w="4700" w:type="dxa"/><w:vAlign w:val="top"/><w:noWrap/></w:tcPr><w:p><w:pPr/><w:r><w:rPr/><w:t xml:space="preserve">Gross margin tinggi tidak berarti cash flow sehat — pantau CCC bersamaan.</w:t></w:r></w:p></w:tc></w:tr><w:tr><w:trPr/><w:tc><w:tcPr><w:tcW w:w="4300" w:type="dxa"/><w:vAlign w:val="top"/><w:noWrap/></w:tcPr><w:p><w:pPr/><w:r><w:rPr/><w:t xml:space="preserve">Tidak menghubungkan dengan operating metrics</w:t></w:r></w:p></w:tc><w:tc><w:tcPr><w:tcW w:w="4700" w:type="dxa"/><w:vAlign w:val="top"/><w:noWrap/></w:tcPr><w:p><w:pPr/><w:r><w:rPr/><w:t xml:space="preserve">Kombinasikan dengan KPI operasional — gross margin tanpa OEE = analisis dangkal.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management review urgent. Audit pos pengeluaran besar, tinjau cash position 13-week rolling. Komunikasikan ke board & kreditor jika ada potensi covenant breach.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variance analysis dibanding budget & periode lalu. Pelajari apakah ini one-off atau trend struktural. Susun action plan: cost reduction, pricing review, atau channel optimization.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Bandingkan dengan benchmark industri — apakah masih ada room? Konsolidasi praktik keuangan baik (term piutang, working capital optimization) ke standar operating procedure.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Operating Expense Ratio (OER)</w:t></w:r><w:r><w:rPr><w:color w:val="6B7280"/><w:sz w:val="18"/><w:szCs w:val="18"/></w:rPr><w:t xml:space="preserve"> — Rasio total biaya operasional terhadap pendapatan.</w:t></w:r></w:p><w:p><w:pPr/><w:r><w:rPr><w:color w:val="1A2744"/><w:b w:val="1"/><w:bCs w:val="1"/></w:rPr><w:t xml:space="preserve">KPI Current Ratio</w:t></w:r><w:r><w:rPr><w:color w:val="6B7280"/><w:sz w:val="18"/><w:szCs w:val="18"/></w:rPr><w:t xml:space="preserve"> — Rasio likuiditas — kemampuan membayar utang jangka pendek dengan aset lancar.</w:t></w:r></w:p><w:p><w:pPr/><w:r><w:rPr><w:color w:val="1A2744"/><w:b w:val="1"/><w:bCs w:val="1"/></w:rPr><w:t xml:space="preserve">KPI Gross Profit Margin</w:t></w:r><w:r><w:rPr><w:color w:val="6B7280"/><w:sz w:val="18"/><w:szCs w:val="18"/></w:rPr><w:t xml:space="preserve"> — Persentase laba kotor terhadap pendapatan. Indikator efisiensi produksi & pricing.</w:t></w:r></w:p><w:p><w:pPr/><w:r><w:rPr><w:color w:val="1A2744"/><w:b w:val="1"/><w:bCs w:val="1"/></w:rPr><w:t xml:space="preserve">KPI Net Profit Margin</w:t></w:r><w:r><w:rPr><w:color w:val="6B7280"/><w:sz w:val="18"/><w:szCs w:val="18"/></w:rPr><w:t xml:space="preserve"> — Persentase laba bersih terhadap pendapatan total. Efisiensi end-to-end perusahaan.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Triwulanan.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Excel + Power Query untuk small business. Skala menengah: Power BI / Tableau dashboard finansial. Enterprise: Anaplan, Workday Adaptive, atau ERP-native (SAP, Oracle, NetSuite) untuk closed-loop FP&A.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KPI-0030 · 28/02/2026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EA1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2026-05-07T13:17:50+00:00</dcterms:created>
  <dcterms:modified xsi:type="dcterms:W3CDTF">2026-05-07T13:17:50+00:00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