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Return on Ad Spend (ROAS)</w:t></w:r></w:p><w:p><w:pPr><w:jc w:val="center"/></w:pPr><w:r><w:rPr><w:color w:val="4B5563"/><w:i w:val="1"/><w:iCs w:val="1"/></w:rPr><w:t xml:space="preserve">Pendapatan yang dihasilkan per rupiah biaya iklan.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Pendapatan dari Iklan / Biaya Iklan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Rasio (Rp/Rp)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Mingguan / per kampanye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4x (umum); > 8x (efisien)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Performance Marketing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ROAS menghitung berapa rupiah pendapatan didapat per rupiah dibelanjakan untuk iklan. Mirip ROI tapi spesifik untuk media spend. Wajib dipantau di performance marketing untuk keputusan bid & budget.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(Mingguan / per kampanye).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Pendapatan dari Iklan / Biaya Iklan.</w:t></w:r></w:p><w:p><w:pPr><w:numPr><w:ilvl w:val="0"/><w:numId w:val="1"/></w:numPr></w:pPr><w:r><w:rPr/><w:t xml:space="preserve">Bandingkan hasil dengan target ≥ 4x (umum); > 8x (efisien)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dalam 1 bulan pembilang = Rp 480.000.000 dan penyebut = 1.200 unit. Maka Hasil = Rp 480.000.000 / 1.200 = Rp 400.000 per unit. Bandingkan dengan target ≥ 4x (umum); > 8x (efisien) dan trend YoY.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4x (umum); > 8x (efisien)).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4x (umum); > 8x (efisien)).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Cost per Lead (CPL)</w:t></w:r><w:r><w:rPr><w:color w:val="6B7280"/><w:sz w:val="18"/><w:szCs w:val="18"/></w:rPr><w:t xml:space="preserve"> — Biaya rata-rata mendapatkan satu lead.</w:t></w:r></w:p><w:p><w:pPr/><w:r><w:rPr><w:color w:val="1A2744"/><w:b w:val="1"/><w:bCs w:val="1"/></w:rPr><w:t xml:space="preserve">KPI Engagement Rate Media Sosial</w:t></w:r><w:r><w:rPr><w:color w:val="6B7280"/><w:sz w:val="18"/><w:szCs w:val="18"/></w:rPr><w:t xml:space="preserve"> — Persentase audience yang berinteraksi dengan konten media sosial.</w:t></w:r></w:p><w:p><w:pPr/><w:r><w:rPr><w:color w:val="1A2744"/><w:b w:val="1"/><w:bCs w:val="1"/></w:rPr><w:t xml:space="preserve">KPI Email Open Rate</w:t></w:r><w:r><w:rPr><w:color w:val="6B7280"/><w:sz w:val="18"/><w:szCs w:val="18"/></w:rPr><w:t xml:space="preserve"> — Persentase email yang dibuka penerima dari total email terkirim.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Mingguan / per kampanye.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KPI-0033 · 03/05/2026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C1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2026-05-07T13:17:57+00:00</dcterms:created>
  <dcterms:modified xsi:type="dcterms:W3CDTF">2026-05-07T13:17:57+00:00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