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Cost per Lead (CPL)</w:t></w:r></w:p><w:p><w:pPr><w:jc w:val="center"/></w:pPr><w:r><w:rPr><w:color w:val="4B5563"/><w:i w:val="1"/><w:iCs w:val="1"/></w:rPr><w:t xml:space="preserve">Biaya rata-rata mendapatkan satu lead.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Biaya Kampanye / Jumlah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Rupiah per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kampanye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Sesuai funnel ekonomi (CPL ≤ CLV × konversi sales-funnel)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Demand Gen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CPL adalah total biaya kampanye dibagi jumlah lead yang dihasilkan. KPI inti di funnel B2B dan model lead-gen — lebih rendah berarti efisiensi top-of-funnel meningkat. Harus dikombinasi dengan lead quality (MQL→SQL conversion).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kampanye).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Biaya Kampanye / Jumlah Lead.</w:t></w:r></w:p><w:p><w:pPr><w:numPr><w:ilvl w:val="0"/><w:numId w:val="1"/></w:numPr></w:pPr><w:r><w:rPr/><w:t xml:space="preserve">Bandingkan hasil dengan target Sesuai funnel ekonomi (CPL ≤ CLV × konversi sales-funnel)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pembilang = Rp 480.000.000 dan penyebut = 1.200 unit. Maka Hasil = Rp 480.000.000 / 1.200 = Rp 400.000 per unit. Bandingkan dengan target Sesuai funnel ekonomi (CPL ≤ CLV × konversi sales-funnel) dan trend YoY.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(Sesuai funnel ekonomi (CPL ≤ CLV × konversi sales-funnel)).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(Sesuai funnel ekonomi (CPL ≤ CLV × konversi sales-funnel)).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Customer Acquisition Cost (CAC)</w:t></w:r><w:r><w:rPr><w:color w:val="6B7280"/><w:sz w:val="18"/><w:szCs w:val="18"/></w:rPr><w:t xml:space="preserve"> — Biaya rata-rata mendapatkan satu pelanggan baru.</w:t></w:r></w:p><w:p><w:pPr/><w:r><w:rPr><w:color w:val="1A2744"/><w:b w:val="1"/><w:bCs w:val="1"/></w:rPr><w:t xml:space="preserve">KPI Marketing Qualified Leads (MQL)</w:t></w:r><w:r><w:rPr><w:color w:val="6B7280"/><w:sz w:val="18"/><w:szCs w:val="18"/></w:rPr><w:t xml:space="preserve"> — Jumlah lead yang lulus kriteria scoring marketing untuk dipass ke sales.</w:t></w:r></w:p><w:p><w:pPr/><w:r><w:rPr><w:color w:val="1A2744"/><w:b w:val="1"/><w:bCs w:val="1"/></w:rPr><w:t xml:space="preserve">KPI Customer Lifetime Value (CLV)</w:t></w:r><w:r><w:rPr><w:color w:val="6B7280"/><w:sz w:val="18"/><w:szCs w:val="18"/></w:rPr><w:t xml:space="preserve"> — Estimasi total profit dari customer selama hubungannya dengan brand.</w:t></w:r></w:p><w:p><w:pPr/><w:r><w:rPr><w:color w:val="1A2744"/><w:b w:val="1"/><w:bCs w:val="1"/></w:rPr><w:t xml:space="preserve">KPI Engagement Rate Media Sosial</w:t></w:r><w:r><w:rPr><w:color w:val="6B7280"/><w:sz w:val="18"/><w:szCs w:val="18"/></w:rPr><w:t xml:space="preserve"> — Persentase audience yang berinteraksi dengan konten media sosial.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kampanye.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KPI-0036 · 09/04/2026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37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2026-05-07T13:18:03+00:00</dcterms:created>
  <dcterms:modified xsi:type="dcterms:W3CDTF">2026-05-07T13:18:03+00:00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