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Engagement Rate Media Sosial</w:t></w:r></w:p><w:p><w:pPr><w:jc w:val="center"/></w:pPr><w:r><w:rPr><w:color w:val="4B5563"/><w:i w:val="1"/><w:iCs w:val="1"/></w:rPr><w:t xml:space="preserve">Persentase audience yang berinteraksi dengan konten media sosial.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((Likes + Comments + Shares + Saves) / Followers atau Reach)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3% (good), ≥ 6% (excellent) untuk Instagram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Social Media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Engagement Rate menghitung total interaksi (like, comment, share, save) terhadap reach atau follower. Indikator kualitas konten dan resonansi dengan audience — vanity metric jika tidak terhubung dengan goal bisnis.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((Likes + Comments + Shares + Saves) / Followers atau Reach) × 100%.</w:t></w:r></w:p><w:p><w:pPr><w:numPr><w:ilvl w:val="0"/><w:numId w:val="1"/></w:numPr></w:pPr><w:r><w:rPr/><w:t xml:space="preserve">Bandingkan hasil dengan target ≥ 3% (good), ≥ 6% (excellent) untuk Instagram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≥ 3% (good), ≥ 6% (excellent) untuk Instagram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3% (good), ≥ 6% (excellent) untuk Instagram).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3% (good), ≥ 6% (excellent) untuk Instagram).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Sales Quota Attainment</w:t></w:r><w:r><w:rPr><w:color w:val="6B7280"/><w:sz w:val="18"/><w:szCs w:val="18"/></w:rPr><w:t xml:space="preserve"> — Persentase pencapaian target penjualan oleh tim sales sebagai indikator efektivitas dan produktivitas penjualan.</w:t></w:r></w:p><w:p><w:pPr/><w:r><w:rPr><w:color w:val="1A2744"/><w:b w:val="1"/><w:bCs w:val="1"/></w:rPr><w:t xml:space="preserve">KPI Conversion Rate</w:t></w:r><w:r><w:rPr><w:color w:val="6B7280"/><w:sz w:val="18"/><w:szCs w:val="18"/></w:rPr><w:t xml:space="preserve"> — Persentase pengunjung yang melakukan aksi target (purchase, sign-up, dll).</w:t></w:r></w:p><w:p><w:pPr/><w:r><w:rPr><w:color w:val="1A2744"/><w:b w:val="1"/><w:bCs w:val="1"/></w:rPr><w:t xml:space="preserve">KPI Customer Lifetime Value (CLV)</w:t></w:r><w:r><w:rPr><w:color w:val="6B7280"/><w:sz w:val="18"/><w:szCs w:val="18"/></w:rPr><w:t xml:space="preserve"> — Estimasi total profit dari customer selama hubungannya dengan brand.</w:t></w:r></w:p><w:p><w:pPr/><w:r><w:rPr><w:color w:val="1A2744"/><w:b w:val="1"/><w:bCs w:val="1"/></w:rPr><w:t xml:space="preserve">KPI Customer Acquisition Cost (CAC)</w:t></w:r><w:r><w:rPr><w:color w:val="6B7280"/><w:sz w:val="18"/><w:szCs w:val="18"/></w:rPr><w:t xml:space="preserve"> — Biaya rata-rata mendapatkan satu pelanggan baru.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KPI-0039 · 02/04/2026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EA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2026-05-07T13:18:09+00:00</dcterms:created>
  <dcterms:modified xsi:type="dcterms:W3CDTF">2026-05-07T13:18:09+00:00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