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Pemasaran</w:t></w:r></w:p><w:p><w:pPr><w:jc w:val="center"/><w:spacing w:after="100"/></w:pPr><w:r><w:rPr><w:color w:val="1A2744"/><w:sz w:val="36"/><w:szCs w:val="36"/><w:b w:val="1"/><w:bCs w:val="1"/></w:rPr><w:t xml:space="preserve">KPI Email Open Rate</w:t></w:r></w:p><w:p><w:pPr><w:jc w:val="center"/></w:pPr><w:r><w:rPr><w:color w:val="4B5563"/><w:i w:val="1"/><w:iCs w:val="1"/></w:rPr><w:t xml:space="preserve">Persentase email yang dibuka penerima dari total email terkirim.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(Email Dibuka / Email Terkirim)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kampanye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20–30%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Email Marketing / CRM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Google Analytics, Meta Ads, ad platform, CRM, marketing automation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Email Open Rate adalah indikator pertama efektivitas email marketing — apakah subject line dan sender cukup menarik untuk dibuka. Setelah Apple Mail Privacy Protection, angka open rate jadi kurang reliable; kombinasikan dengan CTR.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efektivitas budget marketing terhadap akuisisi customer dan revenue growth.</w:t></w:r></w:p><w:p><w:pPr><w:numPr><w:ilvl w:val="0"/><w:numId w:val="1"/></w:numPr></w:pPr><w:r><w:rPr/><w:t xml:space="preserve">Memungkinkan optimasi channel — pivot budget ke channel dengan ROAS / CPL terbaik.</w:t></w:r></w:p><w:p><w:pPr><w:numPr><w:ilvl w:val="0"/><w:numId w:val="1"/></w:numPr></w:pPr><w:r><w:rPr/><w:t xml:space="preserve">Indikator product-market fit dan positioning vs competitor & benchmark industri.</w:t></w:r></w:p><w:p><w:pPr><w:numPr><w:ilvl w:val="0"/><w:numId w:val="1"/></w:numPr></w:pPr><w:r><w:rPr/><w:t xml:space="preserve">Bahan komunikasi ke C-level: dampak nyata investasi marketing terhadap pipeline & pendapatan.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kampanye).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(Email Dibuka / Email Terkirim) × 100%.</w:t></w:r></w:p><w:p><w:pPr><w:numPr><w:ilvl w:val="0"/><w:numId w:val="1"/></w:numPr></w:pPr><w:r><w:rPr/><w:t xml:space="preserve">Bandingkan hasil dengan target 20–30%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(Per kampanye) didapat data: pembilang = 92, penyebut = 100. Maka Hasil = (92 / 100) × 100% = 92%. Bandingkan dengan target 20–30%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(20–30%).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(20–30%).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Search · Social · Email · Direct · Referral. Atribusi ke ROAS / CPA per channel.</w:t></w:r></w:p></w:tc></w:tr><w:tr><w:trPr/><w:tc><w:tcPr><w:tcW w:w="2700" w:type="dxa"/><w:vAlign w:val="top"/><w:noWrap/></w:tcPr><w:p><w:pPr/><w:r><w:rPr><w:b w:val="1"/><w:bCs w:val="1"/></w:rPr><w:t xml:space="preserve">Per Campaign</w:t></w:r></w:p></w:tc><w:tc><w:tcPr><w:tcW w:w="6300" w:type="dxa"/><w:vAlign w:val="top"/><w:noWrap/></w:tcPr><w:p><w:pPr/><w:r><w:rPr/><w:t xml:space="preserve">Setiap creative atau kampanye dipisah. Wajib untuk decision budget reallocation.</w:t></w:r></w:p></w:tc></w:tr><w:tr><w:trPr/><w:tc><w:tcPr><w:tcW w:w="2700" w:type="dxa"/><w:vAlign w:val="top"/><w:noWrap/></w:tcPr><w:p><w:pPr/><w:r><w:rPr><w:b w:val="1"/><w:bCs w:val="1"/></w:rPr><w:t xml:space="preserve">Per Audience Segment</w:t></w:r></w:p></w:tc><w:tc><w:tcPr><w:tcW w:w="6300" w:type="dxa"/><w:vAlign w:val="top"/><w:noWrap/></w:tcPr><w:p><w:pPr/><w:r><w:rPr/><w:t xml:space="preserve">Demografi, perilaku, atau cohort akuisisi — beda persona, beda metric.</w:t></w:r></w:p></w:tc></w:tr><w:tr><w:trPr/><w:tc><w:tcPr><w:tcW w:w="2700" w:type="dxa"/><w:vAlign w:val="top"/><w:noWrap/></w:tcPr><w:p><w:pPr/><w:r><w:rPr><w:b w:val="1"/><w:bCs w:val="1"/></w:rPr><w:t xml:space="preserve">New vs Returning Customer</w:t></w:r></w:p></w:tc><w:tc><w:tcPr><w:tcW w:w="6300" w:type="dxa"/><w:vAlign w:val="top"/><w:noWrap/></w:tcPr><w:p><w:pPr/><w:r><w:rPr/><w:t xml:space="preserve">Pisahkan agar ekonomik akuisisi tidak dicampur dengan retensi.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Atribusi last-click — channel di top funnel tidak dapat kredit</w:t></w:r></w:p></w:tc><w:tc><w:tcPr><w:tcW w:w="4700" w:type="dxa"/><w:vAlign w:val="top"/><w:noWrap/></w:tcPr><w:p><w:pPr/><w:r><w:rPr/><w:t xml:space="preserve">Pakai multi-touch atribusi (linear, time-decay, position-based) atau MMM.</w:t></w:r></w:p></w:tc></w:tr><w:tr><w:trPr/><w:tc><w:tcPr><w:tcW w:w="4300" w:type="dxa"/><w:vAlign w:val="top"/><w:noWrap/></w:tcPr><w:p><w:pPr/><w:r><w:rPr/><w:t xml:space="preserve">Optimasi vanity metric (impression, follower)</w:t></w:r></w:p></w:tc><w:tc><w:tcPr><w:tcW w:w="4700" w:type="dxa"/><w:vAlign w:val="top"/><w:noWrap/></w:tcPr><w:p><w:pPr/><w:r><w:rPr/><w:t xml:space="preserve">Kaitkan ke business outcome: revenue, MQL, customer baru.</w:t></w:r></w:p></w:tc></w:tr><w:tr><w:trPr/><w:tc><w:tcPr><w:tcW w:w="4300" w:type="dxa"/><w:vAlign w:val="top"/><w:noWrap/></w:tcPr><w:p><w:pPr/><w:r><w:rPr/><w:t xml:space="preserve">ROAS dihitung tanpa lifetime value</w:t></w:r></w:p></w:tc><w:tc><w:tcPr><w:tcW w:w="4700" w:type="dxa"/><w:vAlign w:val="top"/><w:noWrap/></w:tcPr><w:p><w:pPr/><w:r><w:rPr/><w:t xml:space="preserve">ROAS = revenue iklan saja → underestimate. Pakai LTV/CAC untuk gambaran utuh.</w:t></w:r></w:p></w:tc></w:tr><w:tr><w:trPr/><w:tc><w:tcPr><w:tcW w:w="4300" w:type="dxa"/><w:vAlign w:val="top"/><w:noWrap/></w:tcPr><w:p><w:pPr/><w:r><w:rPr/><w:t xml:space="preserve">Kampanye tanpa A/B test</w:t></w:r></w:p></w:tc><w:tc><w:tcPr><w:tcW w:w="4700" w:type="dxa"/><w:vAlign w:val="top"/><w:noWrap/></w:tcPr><w:p><w:pPr/><w:r><w:rPr/><w:t xml:space="preserve">Selalu running 2–3 variant; alokasikan budget berdasar winner.</w:t></w:r></w:p></w:tc></w:tr><w:tr><w:trPr/><w:tc><w:tcPr><w:tcW w:w="4300" w:type="dxa"/><w:vAlign w:val="top"/><w:noWrap/></w:tcPr><w:p><w:pPr/><w:r><w:rPr/><w:t xml:space="preserve">Mengabaikan brand metrics</w:t></w:r></w:p></w:tc><w:tc><w:tcPr><w:tcW w:w="4700" w:type="dxa"/><w:vAlign w:val="top"/><w:noWrap/></w:tcPr><w:p><w:pPr/><w:r><w:rPr/><w:t xml:space="preserve">Performance saja tanpa brand → diminishing returns dalam 12–18 bulan.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Pause kampanye yang underperform — jangan terus bakar budget. Audit creative, targeting, dan landing page experience. Re-segment audience dan re-test dengan budget kecil sebelum scaling.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A/B test creative dan landing page; refine targeting (look-alike, exclusion). Realokasikan budget ke top-performing channel — pareto 80/20.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Scale up pelan-pelan — naik 20–30% per minggu di channel yang konversi. Hindari premature scaling yang membakar budget tanpa kontrol unit economics.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Cost per Lead (CPL)</w:t></w:r><w:r><w:rPr><w:color w:val="6B7280"/><w:sz w:val="18"/><w:szCs w:val="18"/></w:rPr><w:t xml:space="preserve"> — Biaya rata-rata mendapatkan satu lead.</w:t></w:r></w:p><w:p><w:pPr/><w:r><w:rPr><w:color w:val="1A2744"/><w:b w:val="1"/><w:bCs w:val="1"/></w:rPr><w:t xml:space="preserve">KPI Customer Acquisition Cost (CAC)</w:t></w:r><w:r><w:rPr><w:color w:val="6B7280"/><w:sz w:val="18"/><w:szCs w:val="18"/></w:rPr><w:t xml:space="preserve"> — Biaya rata-rata mendapatkan satu pelanggan baru.</w:t></w:r></w:p><w:p><w:pPr/><w:r><w:rPr><w:color w:val="1A2744"/><w:b w:val="1"/><w:bCs w:val="1"/></w:rPr><w:t xml:space="preserve">KPI Click-Through Rate (CTR)</w:t></w:r><w:r><w:rPr><w:color w:val="6B7280"/><w:sz w:val="18"/><w:szCs w:val="18"/></w:rPr><w:t xml:space="preserve"> — Persentase pengunjung yang klik dari yang melihat iklan/email/konten.</w:t></w:r></w:p><w:p><w:pPr/><w:r><w:rPr><w:color w:val="1A2744"/><w:b w:val="1"/><w:bCs w:val="1"/></w:rPr><w:t xml:space="preserve">KPI Marketing Qualified Leads (MQL)</w:t></w:r><w:r><w:rPr><w:color w:val="6B7280"/><w:sz w:val="18"/><w:szCs w:val="18"/></w:rPr><w:t xml:space="preserve"> — Jumlah lead yang lulus kriteria scoring marketing untuk dipass ke sales.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kampanye.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Google Analytics 4 + Meta Pixel sebagai baseline gratis. Skala menengah: HubSpot, Mixpanel, atau Segment untuk event tracking. Enterprise: Adobe Analytics + customer data platform (CDP) seperti Tealium / mParticle.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KPI-0040 · 10/02/2026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CE6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2026-05-07T13:18:12+00:00</dcterms:created>
  <dcterms:modified xsi:type="dcterms:W3CDTF">2026-05-07T13:18:12+00:00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