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Mean Time to Recover (MTTR)</w:t></w:r></w:p><w:p><w:pPr><w:jc w:val="center"/></w:pPr><w:r><w:rPr><w:color w:val="4B5563"/><w:i w:val="1"/><w:iCs w:val="1"/></w:rPr><w:t xml:space="preserve">Rata-rata waktu pemulihan dari insiden hingga sistem normal kembali.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Waktu Downtime / Jumlah Insiden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Menit atau Jam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insiden / Bulanan agregat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30 menit (mission-critical); < 4 jam (umu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SRE / IT Operations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MTTR mengukur seberapa cepat tim mengembalikan sistem ke normal setelah insiden — dari deteksi hingga resolusi. Komplemen dari MTBF (frekuensi); fokus pada incident response capability.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insiden / Bulanan agregat).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Waktu Downtime / Jumlah Insiden.</w:t></w:r></w:p><w:p><w:pPr><w:numPr><w:ilvl w:val="0"/><w:numId w:val="1"/></w:numPr></w:pPr><w:r><w:rPr/><w:t xml:space="preserve">Bandingkan hasil dengan target < 30 menit (mission-critical); < 4 jam (umu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< 30 menit (mission-critical); < 4 jam (umum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30 menit (mission-critical); < 4 jam (umu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30 menit (mission-critical); < 4 jam (umu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Keamanan per Bulan</w:t></w:r><w:r><w:rPr><w:color w:val="6B7280"/><w:sz w:val="18"/><w:szCs w:val="18"/></w:rPr><w:t xml:space="preserve"> — Jumlah insiden cybersecurity yang dilaporkan tiap bulan.</w:t></w:r></w:p><w:p><w:pPr/><w:r><w:rPr><w:color w:val="1A2744"/><w:b w:val="1"/><w:bCs w:val="1"/></w:rPr><w:t xml:space="preserve">KPI First Call Resolution (FCR) IT</w:t></w:r><w:r><w:rPr><w:color w:val="6B7280"/><w:sz w:val="18"/><w:szCs w:val="18"/></w:rPr><w:t xml:space="preserve"> — Persentase tiket IT yang selesai di kontak pertama tanpa eskalasi.</w:t></w:r></w:p><w:p><w:pPr/><w:r><w:rPr><w:color w:val="1A2744"/><w:b w:val="1"/><w:bCs w:val="1"/></w:rPr><w:t xml:space="preserve">KPI Patch Compliance Rate</w:t></w:r><w:r><w:rPr><w:color w:val="6B7280"/><w:sz w:val="18"/><w:szCs w:val="18"/></w:rPr><w:t xml:space="preserve"> — Persentase sistem yang ter-patch up-to-date sesuai kebijakan.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insiden / Bulanan agregat.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KPI-0042 · 05/02/2026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FBF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2026-05-07T13:18:15+00:00</dcterms:created>
  <dcterms:modified xsi:type="dcterms:W3CDTF">2026-05-07T13:18:15+00:00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