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IT & Sistem</w:t></w:r></w:p><w:p><w:pPr><w:jc w:val="center"/><w:spacing w:after="100"/></w:pPr><w:r><w:rPr><w:color w:val="1A2744"/><w:sz w:val="36"/><w:szCs w:val="36"/><w:b w:val="1"/><w:bCs w:val="1"/></w:rPr><w:t xml:space="preserve">KPI IT Cost per User</w:t></w:r></w:p><w:p><w:pPr><w:jc w:val="center"/></w:pPr><w:r><w:rPr><w:color w:val="4B5563"/><w:i w:val="1"/><w:iCs w:val="1"/></w:rPr><w:t xml:space="preserve">Rata-rata biaya IT per user / karyawan yang dilayani.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Total Biaya IT / Jumlah User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Rupiah per user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Triwulanan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Industry benchmark (varies per sektor & ukuran)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IT Director / CIO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Monitoring tool (Datadog, Prometheus), ITSM ticket system, security log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IT Cost per User membagi total biaya IT (lisensi, infra, gaji tim, layanan) dengan jumlah user / karyawan yang dilayani. Memberikan benchmarking untuk kalibrasi budget IT terhadap industri.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reliabilitas & kualitas layanan IT yang langsung dirasakan user / customer.</w:t></w:r></w:p><w:p><w:pPr><w:numPr><w:ilvl w:val="0"/><w:numId w:val="1"/></w:numPr></w:pPr><w:r><w:rPr/><w:t xml:space="preserve">Trigger SLA breach detection — krusial untuk komitmen kontrak hosting, SaaS, dan MSP.</w:t></w:r></w:p><w:p><w:pPr><w:numPr><w:ilvl w:val="0"/><w:numId w:val="1"/></w:numPr></w:pPr><w:r><w:rPr/><w:t xml:space="preserve">Indikator kesehatan postur cybersecurity dan kapabilitas incident response tim.</w:t></w:r></w:p><w:p><w:pPr><w:numPr><w:ilvl w:val="0"/><w:numId w:val="1"/></w:numPr></w:pPr><w:r><w:rPr/><w:t xml:space="preserve">Bahan utama capacity planning, budget IT, dan justifikasi investasi tools / lisensi.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(Triwulanan).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Total Biaya IT / Jumlah User.</w:t></w:r></w:p><w:p><w:pPr><w:numPr><w:ilvl w:val="0"/><w:numId w:val="1"/></w:numPr></w:pPr><w:r><w:rPr/><w:t xml:space="preserve">Bandingkan hasil dengan target Industry benchmark (varies per sektor & ukuran)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dalam 1 bulan pembilang = Rp 480.000.000 dan penyebut = 1.200 unit. Maka Hasil = Rp 480.000.000 / 1.200 = Rp 400.000 per unit. Bandingkan dengan target Industry benchmark (varies per sektor & ukuran) dan trend YoY.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(Industry benchmark (varies per sektor & ukuran)).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(Industry benchmark (varies per sektor & ukuran)).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Tier Service</w:t></w:r></w:p></w:tc><w:tc><w:tcPr><w:tcW w:w="6300" w:type="dxa"/><w:vAlign w:val="top"/><w:noWrap/></w:tcPr><w:p><w:pPr/><w:r><w:rPr/><w:t xml:space="preserve">P1 (mission-critical) vs P4 (best-effort). SLA harus berbeda per tier.</w:t></w:r></w:p></w:tc></w:tr><w:tr><w:trPr/><w:tc><w:tcPr><w:tcW w:w="2700" w:type="dxa"/><w:vAlign w:val="top"/><w:noWrap/></w:tcPr><w:p><w:pPr/><w:r><w:rPr><w:b w:val="1"/><w:bCs w:val="1"/></w:rPr><w:t xml:space="preserve">Per Aplikasi / Sistem</w:t></w:r></w:p></w:tc><w:tc><w:tcPr><w:tcW w:w="6300" w:type="dxa"/><w:vAlign w:val="top"/><w:noWrap/></w:tcPr><w:p><w:pPr/><w:r><w:rPr/><w:t xml:space="preserve">Sistem core (ERP, CRM) vs supporting tools. Beda dampak ke bisnis.</w:t></w:r></w:p></w:tc></w:tr><w:tr><w:trPr/><w:tc><w:tcPr><w:tcW w:w="2700" w:type="dxa"/><w:vAlign w:val="top"/><w:noWrap/></w:tcPr><w:p><w:pPr/><w:r><w:rPr><w:b w:val="1"/><w:bCs w:val="1"/></w:rPr><w:t xml:space="preserve">Per Lokasi</w:t></w:r></w:p></w:tc><w:tc><w:tcPr><w:tcW w:w="6300" w:type="dxa"/><w:vAlign w:val="top"/><w:noWrap/></w:tcPr><w:p><w:pPr/><w:r><w:rPr/><w:t xml:space="preserve">Site HQ vs cabang vs remote. Pola insiden sering berbeda jauh.</w:t></w:r></w:p></w:tc></w:tr><w:tr><w:trPr/><w:tc><w:tcPr><w:tcW w:w="2700" w:type="dxa"/><w:vAlign w:val="top"/><w:noWrap/></w:tcPr><w:p><w:pPr/><w:r><w:rPr><w:b w:val="1"/><w:bCs w:val="1"/></w:rPr><w:t xml:space="preserve">Working vs Non-working Hours</w:t></w:r></w:p></w:tc><w:tc><w:tcPr><w:tcW w:w="6300" w:type="dxa"/><w:vAlign w:val="top"/><w:noWrap/></w:tcPr><w:p><w:pPr/><w:r><w:rPr/><w:t xml:space="preserve">SLA jam kerja vs di luar jam kerja perlu kebijakan staffing berbeda.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SLA seragam untuk semua sistem (one-size-fits-all)</w:t></w:r></w:p></w:tc><w:tc><w:tcPr><w:tcW w:w="4700" w:type="dxa"/><w:vAlign w:val="top"/><w:noWrap/></w:tcPr><w:p><w:pPr/><w:r><w:rPr/><w:t xml:space="preserve">Tier per kritikalitas — tidak semua sistem butuh 99.99%.</w:t></w:r></w:p></w:tc></w:tr><w:tr><w:trPr/><w:tc><w:tcPr><w:tcW w:w="4300" w:type="dxa"/><w:vAlign w:val="top"/><w:noWrap/></w:tcPr><w:p><w:pPr/><w:r><w:rPr/><w:t xml:space="preserve">Monitoring hanya post-mortem, bukan proaktif</w:t></w:r></w:p></w:tc><w:tc><w:tcPr><w:tcW w:w="4700" w:type="dxa"/><w:vAlign w:val="top"/><w:noWrap/></w:tcPr><w:p><w:pPr/><w:r><w:rPr/><w:t xml:space="preserve">Tambah synthetic monitoring & alerting trend, bukan hanya threshold.</w:t></w:r></w:p></w:tc></w:tr><w:tr><w:trPr/><w:tc><w:tcPr><w:tcW w:w="4300" w:type="dxa"/><w:vAlign w:val="top"/><w:noWrap/></w:tcPr><w:p><w:pPr/><w:r><w:rPr/><w:t xml:space="preserve">Tidak ada chaos drill / DR test rutin</w:t></w:r></w:p></w:tc><w:tc><w:tcPr><w:tcW w:w="4700" w:type="dxa"/><w:vAlign w:val="top"/><w:noWrap/></w:tcPr><w:p><w:pPr/><w:r><w:rPr/><w:t xml:space="preserve">Backup tanpa restore drill = tidak terbukti reliable. Test minimal 1× per kuartal.</w:t></w:r></w:p></w:tc></w:tr><w:tr><w:trPr/><w:tc><w:tcPr><w:tcW w:w="4300" w:type="dxa"/><w:vAlign w:val="top"/><w:noWrap/></w:tcPr><w:p><w:pPr/><w:r><w:rPr/><w:t xml:space="preserve">Insiden tidak di-classify dengan benar (P1/P2/P3)</w:t></w:r></w:p></w:tc><w:tc><w:tcPr><w:tcW w:w="4700" w:type="dxa"/><w:vAlign w:val="top"/><w:noWrap/></w:tcPr><w:p><w:pPr/><w:r><w:rPr/><w:t xml:space="preserve">Definisi tertulis dan training tim sebelum on-call.</w:t></w:r></w:p></w:tc></w:tr><w:tr><w:trPr/><w:tc><w:tcPr><w:tcW w:w="4300" w:type="dxa"/><w:vAlign w:val="top"/><w:noWrap/></w:tcPr><w:p><w:pPr/><w:r><w:rPr/><w:t xml:space="preserve">Vendor dependency tinggi tanpa runbook internal</w:t></w:r></w:p></w:tc><w:tc><w:tcPr><w:tcW w:w="4700" w:type="dxa"/><w:vAlign w:val="top"/><w:noWrap/></w:tcPr><w:p><w:pPr/><w:r><w:rPr/><w:t xml:space="preserve">Pastikan tim internal bisa eksekusi minimal recovery procedure.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Aktifkan war room / incident bridge. Komunikasi ke stakeholder per 30 menit. Setelah resolve, post-incident review dalam 5 hari kerja dengan action item bertanggal.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Tinjau capacity & infrastructure planning. Upgrade tier untuk sistem mission-critical. Tambah redundancy / failover. Update runbook dan training tim on-call.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praktik baik ke runbook. Eksplor self-healing automation. Adopsi engineering excellence: chaos engineering, SLO/SLI framework, observability tooling modern.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Tiket Helpdesk Resolved per Hari</w:t></w:r><w:r><w:rPr><w:color w:val="6B7280"/><w:sz w:val="18"/><w:szCs w:val="18"/></w:rPr><w:t xml:space="preserve"> — Jumlah tiket support yang diselesaikan tiap agent per hari.</w:t></w:r></w:p><w:p><w:pPr/><w:r><w:rPr><w:color w:val="1A2744"/><w:b w:val="1"/><w:bCs w:val="1"/></w:rPr><w:t xml:space="preserve">KPI Insiden Keamanan per Bulan</w:t></w:r><w:r><w:rPr><w:color w:val="6B7280"/><w:sz w:val="18"/><w:szCs w:val="18"/></w:rPr><w:t xml:space="preserve"> — Jumlah insiden cybersecurity yang dilaporkan tiap bulan.</w:t></w:r></w:p><w:p><w:pPr/><w:r><w:rPr><w:color w:val="1A2744"/><w:b w:val="1"/><w:bCs w:val="1"/></w:rPr><w:t xml:space="preserve">KPI Backup Success Rate</w:t></w:r><w:r><w:rPr><w:color w:val="6B7280"/><w:sz w:val="18"/><w:szCs w:val="18"/></w:rPr><w:t xml:space="preserve"> — Persentase backup data yang berhasil dijalankan sesuai jadwal.</w:t></w:r></w:p><w:p><w:pPr/><w:r><w:rPr><w:color w:val="1A2744"/><w:b w:val="1"/><w:bCs w:val="1"/></w:rPr><w:t xml:space="preserve">KPI Mean Time to Recover (MTTR)</w:t></w:r><w:r><w:rPr><w:color w:val="6B7280"/><w:sz w:val="18"/><w:szCs w:val="18"/></w:rPr><w:t xml:space="preserve"> — Rata-rata waktu pemulihan dari insiden hingga sistem normal kembali.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Triwulanan.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Datadog, New Relic, atau Grafana Cloud untuk observability. ServiceNow / Jira Service Desk untuk ITSM. Untuk security: Sentry, Wazuh (open-source SIEM), atau Splunk. Setup alerting yang aksioner, bukan noise.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KPI-0050 · 23/04/2026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DD7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2026-05-07T13:18:34+00:00</dcterms:created>
  <dcterms:modified xsi:type="dcterms:W3CDTF">2026-05-07T13:18:34+00:00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