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Produksi</w:t></w:r></w:p><w:p><w:pPr><w:jc w:val="center"/><w:spacing w:after="100"/></w:pPr><w:r><w:rPr><w:color w:val="1A2744"/><w:sz w:val="36"/><w:szCs w:val="36"/><w:b w:val="1"/><w:bCs w:val="1"/></w:rPr><w:t xml:space="preserve">KPI Adherence to Production Schedule</w:t></w:r></w:p><w:p><w:pPr><w:jc w:val="center"/></w:pPr><w:r><w:rPr><w:color w:val="4B5563"/><w:i w:val="1"/><w:iCs w:val="1"/></w:rPr><w:t xml:space="preserve">Persentase order produksi yang selesai sesuai jadwal.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(Order Selesai On-Schedule / Total Order Terjadwal)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Mingguan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95%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Production Planner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MES, SCADA, PLC, sensor IoT, production reporting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Schedule Adherence mengukur seberapa konsisten produksi mengikuti master schedule. Pelanggaran berdampak ke OTD pelanggan dan efek domino di hilir. Indikator kapabilitas planning + reliability eksekusi.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pabrik — direct impact ke gross margin dan unit economics.</w:t></w:r></w:p><w:p><w:pPr><w:numPr><w:ilvl w:val="0"/><w:numId w:val="1"/></w:numPr></w:pPr><w:r><w:rPr/><w:t xml:space="preserve">Memungkinkan deteksi dini deviasi mesin, operator, atau proses sebelum scrap menumpuk.</w:t></w:r></w:p><w:p><w:pPr><w:numPr><w:ilvl w:val="0"/><w:numId w:val="1"/></w:numPr></w:pPr><w:r><w:rPr/><w:t xml:space="preserve">Standar wajib di industri manufaktur (ISO 9001, IATF 16949, GMP, HACCP, dll).</w:t></w:r></w:p><w:p><w:pPr><w:numPr><w:ilvl w:val="0"/><w:numId w:val="1"/></w:numPr></w:pPr><w:r><w:rPr/><w:t xml:space="preserve">Bahan harian shop floor meeting dan monthly OEE / production review eksekutif.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(Mingguan).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(Order Selesai On-Schedule / Total Order Terjadwal) × 100%.</w:t></w:r></w:p><w:p><w:pPr><w:numPr><w:ilvl w:val="0"/><w:numId w:val="1"/></w:numPr></w:pPr><w:r><w:rPr/><w:t xml:space="preserve">Bandingkan hasil dengan target ≥ 95%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(Mingguan) didapat data: pembilang = 92, penyebut = 100. Maka Hasil = (92 / 100) × 100% = 92%. Bandingkan dengan target ≥ 95%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95%).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95%).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Mesin / Lini</w:t></w:r></w:p></w:tc><w:tc><w:tcPr><w:tcW w:w="6300" w:type="dxa"/><w:vAlign w:val="top"/><w:noWrap/></w:tcPr><w:p><w:pPr/><w:r><w:rPr/><w:t xml:space="preserve">OEE per mesin dan lini — fokus continuous improvement ke yang terendah.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Beda performa shift = sinyal masalah operator atau supervisi.</w:t></w:r></w:p></w:tc></w:tr><w:tr><w:trPr/><w:tc><w:tcPr><w:tcW w:w="2700" w:type="dxa"/><w:vAlign w:val="top"/><w:noWrap/></w:tcPr><w:p><w:pPr/><w:r><w:rPr><w:b w:val="1"/><w:bCs w:val="1"/></w:rPr><w:t xml:space="preserve">Per Produk / Family</w:t></w:r></w:p></w:tc><w:tc><w:tcPr><w:tcW w:w="6300" w:type="dxa"/><w:vAlign w:val="top"/><w:noWrap/></w:tcPr><w:p><w:pPr/><w:r><w:rPr/><w:t xml:space="preserve">Setiap produk punya cycle time / yield berbeda. Wajib dipisah untuk benchmark adil.</w:t></w:r></w:p></w:tc></w:tr><w:tr><w:trPr/><w:tc><w:tcPr><w:tcW w:w="2700" w:type="dxa"/><w:vAlign w:val="top"/><w:noWrap/></w:tcPr><w:p><w:pPr/><w:r><w:rPr><w:b w:val="1"/><w:bCs w:val="1"/></w:rPr><w:t xml:space="preserve">Per Operator (anonimisasi)</w:t></w:r></w:p></w:tc><w:tc><w:tcPr><w:tcW w:w="6300" w:type="dxa"/><w:vAlign w:val="top"/><w:noWrap/></w:tcPr><w:p><w:pPr/><w:r><w:rPr/><w:t xml:space="preserve">Untuk training need analysis tanpa stigmatisasi — fokus skill, bukan blaming.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Tracking manual dengan paper / Excel — delay tinggi & error tinggi</w:t></w:r></w:p></w:tc><w:tc><w:tcPr><w:tcW w:w="4700" w:type="dxa"/><w:vAlign w:val="top"/><w:noWrap/></w:tcPr><w:p><w:pPr/><w:r><w:rPr/><w:t xml:space="preserve">Pakai MES / Andon / IoT untuk real-time data.</w:t></w:r></w:p></w:tc></w:tr><w:tr><w:trPr/><w:tc><w:tcPr><w:tcW w:w="4300" w:type="dxa"/><w:vAlign w:val="top"/><w:noWrap/></w:tcPr><w:p><w:pPr/><w:r><w:rPr/><w:t xml:space="preserve">Operator takut report defect — angka jadi tidak akurat</w:t></w:r></w:p></w:tc><w:tc><w:tcPr><w:tcW w:w="4700" w:type="dxa"/><w:vAlign w:val="top"/><w:noWrap/></w:tcPr><w:p><w:pPr/><w:r><w:rPr/><w:t xml:space="preserve">Blameless culture; reward jujur lebih tinggi dari "0 defect" palsu.</w:t></w:r></w:p></w:tc></w:tr><w:tr><w:trPr/><w:tc><w:tcPr><w:tcW w:w="4300" w:type="dxa"/><w:vAlign w:val="top"/><w:noWrap/></w:tcPr><w:p><w:pPr/><w:r><w:rPr/><w:t xml:space="preserve">OEE dipantau tanpa breakdown 6 big losses</w:t></w:r></w:p></w:tc><w:tc><w:tcPr><w:tcW w:w="4700" w:type="dxa"/><w:vAlign w:val="top"/><w:noWrap/></w:tcPr><w:p><w:pPr/><w:r><w:rPr/><w:t xml:space="preserve">Pisah Availability, Performance, Quality + 6 big losses untuk fokus improvement.</w:t></w:r></w:p></w:tc></w:tr><w:tr><w:trPr/><w:tc><w:tcPr><w:tcW w:w="4300" w:type="dxa"/><w:vAlign w:val="top"/><w:noWrap/></w:tcPr><w:p><w:pPr/><w:r><w:rPr/><w:t xml:space="preserve">Maintenance schedule tidak update sesuai actual MTBF</w:t></w:r></w:p></w:tc><w:tc><w:tcPr><w:tcW w:w="4700" w:type="dxa"/><w:vAlign w:val="top"/><w:noWrap/></w:tcPr><w:p><w:pPr/><w:r><w:rPr/><w:t xml:space="preserve">Pakai data MTBF aktual untuk preventive interval — bukan jadwal kaku vendor.</w:t></w:r></w:p></w:tc></w:tr><w:tr><w:trPr/><w:tc><w:tcPr><w:tcW w:w="4300" w:type="dxa"/><w:vAlign w:val="top"/><w:noWrap/></w:tcPr><w:p><w:pPr/><w:r><w:rPr/><w:t xml:space="preserve">Target ditetapkan top-down tanpa input shop floor</w:t></w:r></w:p></w:tc><w:tc><w:tcPr><w:tcW w:w="4700" w:type="dxa"/><w:vAlign w:val="top"/><w:noWrap/></w:tcPr><w:p><w:pPr/><w:r><w:rPr/><w:t xml:space="preserve">Libatkan operator & supervisor — mereka tahu constraint nyata.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emergency line review. Stop produksi jika quality risk tinggi. Lakukan 5 Why bersama operator, supervisor, maintenance, & engineering. Set action plan 7-hari.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lini bermasalah. Review preventive maintenance schedule. Cek konsistensi material dari supplier. Re-train operator pada SOP terbaru.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TPM autonomous & planned maintenance. Eksplor otomatisasi atau Poka-Yoke untuk eliminasi mistake-proofing. Bagikan praktik baik ke lini lain.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Output per Operator per Jam</w:t></w:r><w:r><w:rPr><w:color w:val="6B7280"/><w:sz w:val="18"/><w:szCs w:val="18"/></w:rPr><w:t xml:space="preserve"> — Jumlah unit yang dihasilkan operator per jam kerja produktif.</w:t></w:r></w:p><w:p><w:pPr/><w:r><w:rPr><w:color w:val="1A2744"/><w:b w:val="1"/><w:bCs w:val="1"/></w:rPr><w:t xml:space="preserve">KPI Downtime Mesin</w:t></w:r><w:r><w:rPr><w:color w:val="6B7280"/><w:sz w:val="18"/><w:szCs w:val="18"/></w:rPr><w:t xml:space="preserve"> — Total waktu mesin tidak beroperasi (planned + unplanned).</w:t></w:r></w:p><w:p><w:pPr/><w:r><w:rPr><w:color w:val="1A2744"/><w:b w:val="1"/><w:bCs w:val="1"/></w:rPr><w:t xml:space="preserve">KPI Overall Equipment Effectiveness (OEE)</w:t></w:r><w:r><w:rPr><w:color w:val="6B7280"/><w:sz w:val="18"/><w:szCs w:val="18"/></w:rPr><w:t xml:space="preserve"> — Indeks komposit availability × performance × quality. KPI puncak operasional pabrik.</w:t></w:r></w:p><w:p><w:pPr/><w:r><w:rPr><w:color w:val="1A2744"/><w:b w:val="1"/><w:bCs w:val="1"/></w:rPr><w:t xml:space="preserve">KPI Scrap Rate</w:t></w:r><w:r><w:rPr><w:color w:val="6B7280"/><w:sz w:val="18"/><w:szCs w:val="18"/></w:rPr><w:t xml:space="preserve"> — Persentase bahan baku terbuang sebagai scrap dari total input.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Mingguan.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Andon board manual untuk start. Skala besar: MES (Wonderware, SAP DM, Plex), IoT sensor + Grafana, atau OEE software seperti Vorne / FactoryAI. Pasang Andon visual di lantai pabrik untuk shop floor visibility.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KPI-0059 · 24/01/2026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E66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2026-05-07T13:18:52+00:00</dcterms:created>
  <dcterms:modified xsi:type="dcterms:W3CDTF">2026-05-07T13:18:52+00:00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