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Cost per Unit Produksi</w:t></w:r></w:p><w:p><w:pPr><w:jc w:val="center"/></w:pPr><w:r><w:rPr><w:color w:val="4B5563"/><w:i w:val="1"/><w:iCs w:val="1"/></w:rPr><w:t xml:space="preserve">Total biaya produksi rata-rata per unit output.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Biaya Produksi / Jumlah Unit Output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unit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standard cost; trend turun YoY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Manager / Cost Accountant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Membagi total biaya produksi (material, tenaga kerja langsung, overhead) dengan jumlah unit output. Dasar pricing dan input untuk margin analysis. Fokus continuous improvement adalah menurunkan tanpa mengorbankan kualitas.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Biaya Produksi / Jumlah Unit Output.</w:t></w:r></w:p><w:p><w:pPr><w:numPr><w:ilvl w:val="0"/><w:numId w:val="1"/></w:numPr></w:pPr><w:r><w:rPr/><w:t xml:space="preserve">Bandingkan hasil dengan target Sesuai standard cost; trend turun YoY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Sesuai standard cost; trend turun YoY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standard cost; trend turun YoY).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standard cost; trend turun YoY).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Overall Equipment Effectiveness (OEE)</w:t></w:r><w:r><w:rPr><w:color w:val="6B7280"/><w:sz w:val="18"/><w:szCs w:val="18"/></w:rPr><w:t xml:space="preserve"> — Indeks komposit availability × performance × quality. KPI puncak operasional pabrik.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><w:pPr/><w:r><w:rPr><w:color w:val="1A2744"/><w:b w:val="1"/><w:bCs w:val="1"/></w:rPr><w:t xml:space="preserve">KPI First Pass Yield (FPY)</w:t></w:r><w:r><w:rPr><w:color w:val="6B7280"/><w:sz w:val="18"/><w:szCs w:val="18"/></w:rPr><w:t xml:space="preserve"> — Persentase produk lolos QC tanpa rework di iterasi pertama.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KPI-0060 · 23/02/2026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7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2026-05-07T13:18:53+00:00</dcterms:created>
  <dcterms:modified xsi:type="dcterms:W3CDTF">2026-05-07T13:18:53+00:00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