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Purchase Price Variance (PPV)</w:t></w:r></w:p><w:p><w:pPr><w:jc w:val="center"/></w:pPr><w:r><w:rPr><w:color w:val="4B5563"/><w:i w:val="1"/><w:iCs w:val="1"/></w:rPr><w:t xml:space="preserve">Selisih harga aktual pembelian vs harga standar / anggaran.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(Harga Aktual − Harga Standar) × Quantity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Rupiah (negatif = favorable)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Favorable (negatif) atau zero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Procurement Lead / Buyer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PPV adalah selisih antara harga pembelian aktual dengan harga standar (yang sudah dianggarkan), dikalikan kuantitas. Negatif (favorable) = beli lebih murah dari budget; positif (unfavorable) = lebih mahal. Salah satu KPI inti procurement.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(Harga Aktual − Harga Standar) × Quantity.</w:t></w:r></w:p><w:p><w:pPr><w:numPr><w:ilvl w:val="0"/><w:numId w:val="1"/></w:numPr></w:pPr><w:r><w:rPr/><w:t xml:space="preserve">Bandingkan hasil dengan target Favorable (negatif) atau zero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Favorable (negatif) atau zero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(Favorable (negatif) atau zero).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(Favorable (negatif) atau zero).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Procurement Cycle Time</w:t></w:r><w:r><w:rPr><w:color w:val="6B7280"/><w:sz w:val="18"/><w:szCs w:val="18"/></w:rPr><w:t xml:space="preserve"> — Lama waktu dari requisition disetujui hingga PO release.</w:t></w:r></w:p><w:p><w:pPr/><w:r><w:rPr><w:color w:val="1A2744"/><w:b w:val="1"/><w:bCs w:val="1"/></w:rPr><w:t xml:space="preserve">KPI PO Accuracy Rate</w:t></w:r><w:r><w:rPr><w:color w:val="6B7280"/><w:sz w:val="18"/><w:szCs w:val="18"/></w:rPr><w:t xml:space="preserve"> — Persentase PO yang dibuat tanpa error atau revisi.</w:t></w:r></w:p><w:p><w:pPr/><w:r><w:rPr><w:color w:val="1A2744"/><w:b w:val="1"/><w:bCs w:val="1"/></w:rPr><w:t xml:space="preserve">KPI Vendor Lead Time</w:t></w:r><w:r><w:rPr><w:color w:val="6B7280"/><w:sz w:val="18"/><w:szCs w:val="18"/></w:rPr><w:t xml:space="preserve"> — Rata-rata waktu antara PO dan barang diterima dari vendor.</w:t></w:r></w:p><w:p><w:pPr/><w:r><w:rPr><w:color w:val="1A2744"/><w:b w:val="1"/><w:bCs w:val="1"/></w:rPr><w:t xml:space="preserve">KPI Tingkat Kepatuhan Kontrak Vendor</w:t></w:r><w:r><w:rPr><w:color w:val="6B7280"/><w:sz w:val="18"/><w:szCs w:val="18"/></w:rPr><w:t xml:space="preserve"> — Persentase pemenuhan term kontrak (harga, kualitas, SLA) oleh vendor.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KPI-0061 · 27/04/2026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CC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2026-05-07T13:18:57+00:00</dcterms:created>
  <dcterms:modified xsi:type="dcterms:W3CDTF">2026-05-07T13:18:57+00:00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