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PO Accuracy Rate</w:t></w:r></w:p><w:p><w:pPr><w:jc w:val="center"/></w:pPr><w:r><w:rPr><w:color w:val="4B5563"/><w:i w:val="1"/><w:iCs w:val="1"/></w:rPr><w:t xml:space="preserve">Persentase PO yang dibuat tanpa error atau revisi.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(PO Akurat / Total PO)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98%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Procurement Operations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PO Accuracy mengukur kualitas data PO yang dirilis — bebas dari kesalahan kuantitas, harga, kode item, term, atau alamat kirim. PO yang error memicu revisi, keterlambatan, dan dispute invoice.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(PO Akurat / Total PO) × 100%.</w:t></w:r></w:p><w:p><w:pPr><w:numPr><w:ilvl w:val="0"/><w:numId w:val="1"/></w:numPr></w:pPr><w:r><w:rPr/><w:t xml:space="preserve">Bandingkan hasil dengan target ≥ 98%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98%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98%).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98%).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Supplier On-Time Delivery</w:t></w:r><w:r><w:rPr><w:color w:val="6B7280"/><w:sz w:val="18"/><w:szCs w:val="18"/></w:rPr><w:t xml:space="preserve"> — Persentase pengiriman tepat waktu dari supplier.</w:t></w:r></w:p><w:p><w:pPr/><w:r><w:rPr><w:color w:val="1A2744"/><w:b w:val="1"/><w:bCs w:val="1"/></w:rPr><w:t xml:space="preserve">KPI Tingkat Kepatuhan Kontrak Vendor</w:t></w:r><w:r><w:rPr><w:color w:val="6B7280"/><w:sz w:val="18"/><w:szCs w:val="18"/></w:rPr><w:t xml:space="preserve"> — Persentase pemenuhan term kontrak (harga, kualitas, SLA) oleh vendor.</w:t></w:r></w:p><w:p><w:pPr/><w:r><w:rPr><w:color w:val="1A2744"/><w:b w:val="1"/><w:bCs w:val="1"/></w:rPr><w:t xml:space="preserve">KPI Spend Under Management</w:t></w:r><w:r><w:rPr><w:color w:val="6B7280"/><w:sz w:val="18"/><w:szCs w:val="18"/></w:rPr><w:t xml:space="preserve"> — Persentase pengeluaran perusahaan yang dikelola via kontrak / proses procurement resmi.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KPI-0067 · 18/03/2026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B7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2026-05-07T13:19:10+00:00</dcterms:created>
  <dcterms:modified xsi:type="dcterms:W3CDTF">2026-05-07T13:19:10+00:00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