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jc w:val="center"/></w:pPr><w:r><w:rPr><w:color w:val="C2185B"/><w:sz w:val="18"/><w:szCs w:val="18"/><w:b w:val="1"/><w:bCs w:val="1"/></w:rPr><w:t xml:space="preserve">Kategori: Pengadaan</w:t></w:r></w:p><w:p><w:pPr><w:jc w:val="center"/><w:spacing w:after="100"/></w:pPr><w:r><w:rPr><w:color w:val="1A2744"/><w:sz w:val="36"/><w:szCs w:val="36"/><w:b w:val="1"/><w:bCs w:val="1"/></w:rPr><w:t xml:space="preserve">KPI Inventory Turnover</w:t></w:r></w:p><w:p><w:pPr><w:jc w:val="center"/></w:pPr><w:r><w:rPr><w:color w:val="4B5563"/><w:i w:val="1"/><w:iCs w:val="1"/></w:rPr><w:t xml:space="preserve">Berapa kali inventory di-turn-over (terjual & diganti) per periode.</w:t></w:r></w:p><w:p/><w:tbl><w:tblGrid><w:gridCol w:w="2800" w:type="dxa"/><w:gridCol w:w="62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4" w:color="E5E7EB"/><w:left w:val="single" w:sz="4" w:color="E5E7EB"/><w:right w:val="single" w:sz="4" w:color="E5E7EB"/><w:bottom w:val="single" w:sz="4" w:color="E5E7EB"/><w:insideH w:val="single" w:sz="4" w:color="E5E7EB"/><w:insideV w:val="single" w:sz="4" w:color="E5E7EB"/></w:tblBorders></w:tblP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Rumus</w:t></w:r></w:p></w:tc><w:tc><w:tcPr><w:tcW w:w="6200" w:type="dxa"/><w:vAlign w:val="top"/><w:noWrap/></w:tcPr><w:p><w:pPr/><w:r><w:rPr><w:color w:val="1A2744"/><w:b w:val="1"/><w:bCs w:val="1"/></w:rPr><w:t xml:space="preserve">HPP / Rata-rata Inventory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Satuan</w:t></w:r></w:p></w:tc><w:tc><w:tcPr><w:tcW w:w="6200" w:type="dxa"/><w:vAlign w:val="top"/><w:noWrap/></w:tcPr><w:p><w:pPr/><w:r><w:rPr><w:color w:val="1A2744"/><w:b w:val="1"/><w:bCs w:val="1"/></w:rPr><w:t xml:space="preserve">Kali (turn) per tahun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Frekuensi</w:t></w:r></w:p></w:tc><w:tc><w:tcPr><w:tcW w:w="6200" w:type="dxa"/><w:vAlign w:val="top"/><w:noWrap/></w:tcPr><w:p><w:pPr/><w:r><w:rPr><w:color w:val="1A2744"/><w:b w:val="1"/><w:bCs w:val="1"/></w:rPr><w:t xml:space="preserve">Bulanan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Target</w:t></w:r></w:p></w:tc><w:tc><w:tcPr><w:tcW w:w="6200" w:type="dxa"/><w:vAlign w:val="top"/><w:noWrap/></w:tcPr><w:p><w:pPr/><w:r><w:rPr><w:color w:val="1A2744"/><w:b w:val="1"/><w:bCs w:val="1"/></w:rPr><w:t xml:space="preserve">≥ 6x per tahun (industry-dependent)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Penanggung Jawab</w:t></w:r></w:p></w:tc><w:tc><w:tcPr><w:tcW w:w="6200" w:type="dxa"/><w:vAlign w:val="top"/><w:noWrap/></w:tcPr><w:p><w:pPr/><w:r><w:rPr><w:color w:val="1A2744"/><w:b w:val="1"/><w:bCs w:val="1"/></w:rPr><w:t xml:space="preserve">Inventory Manager / Supply Chain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Sumber Data</w:t></w:r></w:p></w:tc><w:tc><w:tcPr><w:tcW w:w="6200" w:type="dxa"/><w:vAlign w:val="top"/><w:noWrap/></w:tcPr><w:p><w:pPr/><w:r><w:rPr><w:color w:val="1A2744"/><w:b w:val="1"/><w:bCs w:val="1"/></w:rPr><w:t xml:space="preserve">ERP procurement module, e-procurement, contract management, vendor scorecard</w:t></w:r></w:p></w:tc></w:tr></w:tbl><w:p/><w:p><w:pPr/><w:r><w:rPr><w:color w:val="1A2744"/><w:sz w:val="28"/><w:szCs w:val="28"/><w:b w:val="1"/><w:bCs w:val="1"/></w:rPr><w:t xml:space="preserve">Definisi & Konteks</w:t></w:r></w:p><w:p><w:pPr/><w:r><w:rPr/><w:t xml:space="preserve">Inventory Turnover mengukur efisiensi pengelolaan stok: HPP setahun dibagi rata-rata nilai inventory. Tinggi = stok cepat berputar (jangan kelebihan modal); rendah = ada slow-moving / dead stock.</w:t></w:r></w:p><w:p/><w:p><w:pPr/><w:r><w:rPr><w:color w:val="1A2744"/><w:sz w:val="28"/><w:szCs w:val="28"/><w:b w:val="1"/><w:bCs w:val="1"/></w:rPr><w:t xml:space="preserve">Mengapa KPI Ini Penting</w:t></w:r></w:p><w:p><w:pPr><w:numPr><w:ilvl w:val="0"/><w:numId w:val="1"/></w:numPr></w:pPr><w:r><w:rPr/><w:t xml:space="preserve">Mengukur efisiensi & efektivitas tim procurement dalam mengelola spend perusahaan.</w:t></w:r></w:p><w:p><w:pPr><w:numPr><w:ilvl w:val="0"/><w:numId w:val="1"/></w:numPr></w:pPr><w:r><w:rPr/><w:t xml:space="preserve">Berdampak langsung ke COGS, working capital, dan kontinuitas supply chain.</w:t></w:r></w:p><w:p><w:pPr><w:numPr><w:ilvl w:val="0"/><w:numId w:val="1"/></w:numPr></w:pPr><w:r><w:rPr/><w:t xml:space="preserve">Indikator kesehatan vendor base — early warning supplier risk (default, kualitas, lead time).</w:t></w:r></w:p><w:p><w:pPr><w:numPr><w:ilvl w:val="0"/><w:numId w:val="1"/></w:numPr></w:pPr><w:r><w:rPr/><w:t xml:space="preserve">Bahan supplier scorecard dan rationalization yang menentukan preferred vendor list.</w:t></w:r></w:p><w:p/><w:p><w:pPr/><w:r><w:rPr><w:color w:val="1A2744"/><w:sz w:val="28"/><w:szCs w:val="28"/><w:b w:val="1"/><w:bCs w:val="1"/></w:rPr><w:t xml:space="preserve">Cara Menghitung</w:t></w:r></w:p><w:p><w:pPr><w:numPr><w:ilvl w:val="0"/><w:numId w:val="1"/></w:numPr></w:pPr><w:r><w:rPr/><w:t xml:space="preserve">Kumpulkan data sumber untuk periode pengukuran (Bulanan). Pastikan dari sistem otoritatif, bukan rekap manual.</w:t></w:r></w:p><w:p><w:pPr><w:numPr><w:ilvl w:val="0"/><w:numId w:val="1"/></w:numPr></w:pPr><w:r><w:rPr/><w:t xml:space="preserve">Validasi kelengkapan dan akurasi data — buang outlier akibat kesalahan input atau periode tidak penuh.</w:t></w:r></w:p><w:p><w:pPr><w:numPr><w:ilvl w:val="0"/><w:numId w:val="1"/></w:numPr></w:pPr><w:r><w:rPr/><w:t xml:space="preserve">Hitung dengan rumus: HPP / Rata-rata Inventory.</w:t></w:r></w:p><w:p><w:pPr><w:numPr><w:ilvl w:val="0"/><w:numId w:val="1"/></w:numPr></w:pPr><w:r><w:rPr/><w:t xml:space="preserve">Bandingkan hasil dengan target ≥ 6x per tahun (industry-dependent) dan periode sebelumnya untuk lihat trend.</w:t></w:r></w:p><w:p><w:pPr><w:numPr><w:ilvl w:val="0"/><w:numId w:val="1"/></w:numPr></w:pPr><w:r><w:rPr/><w:t xml:space="preserve">Dokumentasikan di dashboard KPI dan komunikasikan ke pemangku kepentingan dalam rapat rutin.</w:t></w:r></w:p><w:p/><w:p><w:pPr/><w:r><w:rPr><w:color w:val="1A2744"/><w:sz w:val="24"/><w:szCs w:val="24"/><w:b w:val="1"/><w:bCs w:val="1"/></w:rPr><w:t xml:space="preserve">Contoh Kalkulasi</w:t></w:r></w:p><w:p><w:pPr/><w:r><w:rPr/><w:t xml:space="preserve">Misal numerator = 5.400 dan denominator = 1.800. Hasil = 5.400 / 1.800 = 3.0x. Bandingkan dengan target ≥ 6x per tahun (industry-dependent) dan trend YoY — perubahan dalam 3 periode berturut-turut lebih meaningful.</w:t></w:r></w:p><w:p/><w:p><w:pPr/><w:r><w:rPr><w:color w:val="1A2744"/><w:sz w:val="28"/><w:szCs w:val="28"/><w:b w:val="1"/><w:bCs w:val="1"/></w:rPr><w:t xml:space="preserve">Interpretasi Hasil</w:t></w:r></w:p><w:tbl><w:tblGrid><w:gridCol w:w="1800" w:type="dxa"/><w:gridCol w:w="3700" w:type="dxa"/><w:gridCol w:w="35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4" w:color="E5E7EB"/><w:left w:val="single" w:sz="4" w:color="E5E7EB"/><w:right w:val="single" w:sz="4" w:color="E5E7EB"/><w:bottom w:val="single" w:sz="4" w:color="E5E7EB"/><w:insideH w:val="single" w:sz="4" w:color="E5E7EB"/><w:insideV w:val="single" w:sz="4" w:color="E5E7EB"/></w:tblBorders></w:tblPr><w:tr><w:trPr/><w:tc><w:tcPr><w:tcW w:w="1800" w:type="dxa"/><w:vAlign w:val="center"/><w:noWrap/></w:tcPr><w:p><w:pPr/><w:r><w:rPr><w:b w:val="1"/><w:bCs w:val="1"/><w:shd w:val="clear" w:fill="FCE4EC"/></w:rPr><w:t xml:space="preserve">Status</w:t></w:r></w:p></w:tc><w:tc><w:tcPr><w:tcW w:w="3700" w:type="dxa"/><w:vAlign w:val="center"/><w:noWrap/></w:tcPr><w:p><w:pPr/><w:r><w:rPr><w:b w:val="1"/><w:bCs w:val="1"/><w:shd w:val="clear" w:fill="FCE4EC"/></w:rPr><w:t xml:space="preserve">Apa yang Berarti</w:t></w:r></w:p></w:tc><w:tc><w:tcPr><w:tcW w:w="3500" w:type="dxa"/><w:vAlign w:val="center"/><w:noWrap/></w:tcPr><w:p><w:pPr/><w:r><w:rPr><w:b w:val="1"/><w:bCs w:val="1"/><w:shd w:val="clear" w:fill="FCE4EC"/></w:rPr><w:t xml:space="preserve">Tindakan Singkat</w:t></w:r></w:p></w:tc></w:tr><w:tr><w:trPr/><w:tc><w:tcPr><w:tcW w:w="1800" w:type="dxa"/><w:vAlign w:val="center"/><w:shd w:val="clear" w:fill="FEE2E2"/><w:noWrap/></w:tcPr><w:p><w:pPr/><w:r><w:rPr><w:color w:val="991B1B"/><w:b w:val="1"/><w:bCs w:val="1"/></w:rPr><w:t xml:space="preserve">Off-target</w:t></w:r></w:p></w:tc><w:tc><w:tcPr><w:tcW w:w="3700" w:type="dxa"/><w:vAlign w:val="top"/><w:noWrap/></w:tcPr><w:p><w:pPr/><w:r><w:rPr/><w:t xml:space="preserve">Hasil di luar target (≥ 6x per tahun (industry-dependent)). Trend memburuk atau jauh dari standar industri.</w:t></w:r></w:p></w:tc><w:tc><w:tcPr><w:tcW w:w="3500" w:type="dxa"/><w:vAlign w:val="top"/><w:noWrap/></w:tcPr><w:p><w:pPr/><w:r><w:rPr/><w:t xml:space="preserve">Aktifkan root cause analysis. Stop kampanye / proses jika dampak material. Eskalasi ke pemangku kepentingan.</w:t></w:r></w:p></w:tc></w:tr><w:tr><w:trPr/><w:tc><w:tcPr><w:tcW w:w="1800" w:type="dxa"/><w:vAlign w:val="center"/><w:shd w:val="clear" w:fill="FEF3C7"/><w:noWrap/></w:tcPr><w:p><w:pPr/><w:r><w:rPr><w:color w:val="92400E"/><w:b w:val="1"/><w:bCs w:val="1"/></w:rPr><w:t xml:space="preserve">Borderline</w:t></w:r></w:p></w:tc><w:tc><w:tcPr><w:tcW w:w="3700" w:type="dxa"/><w:vAlign w:val="top"/><w:noWrap/></w:tcPr><w:p><w:pPr/><w:r><w:rPr/><w:t xml:space="preserve">Hasil dekat target, tapi trend tidak konsisten — risk-off setiap saat.</w:t></w:r></w:p></w:tc><w:tc><w:tcPr><w:tcW w:w="3500" w:type="dxa"/><w:vAlign w:val="top"/><w:noWrap/></w:tcPr><w:p><w:pPr/><w:r><w:rPr/><w:t xml:space="preserve">Identifikasi 2–3 driver utama. Lakukan perbaikan iteratif sebelum jadi off-target permanen.</w:t></w:r></w:p></w:tc></w:tr><w:tr><w:trPr/><w:tc><w:tcPr><w:tcW w:w="1800" w:type="dxa"/><w:vAlign w:val="center"/><w:shd w:val="clear" w:fill="DCFCE7"/><w:noWrap/></w:tcPr><w:p><w:pPr/><w:r><w:rPr><w:color w:val="166534"/><w:b w:val="1"/><w:bCs w:val="1"/></w:rPr><w:t xml:space="preserve">On-target</w:t></w:r></w:p></w:tc><w:tc><w:tcPr><w:tcW w:w="3700" w:type="dxa"/><w:vAlign w:val="top"/><w:noWrap/></w:tcPr><w:p><w:pPr/><w:r><w:rPr/><w:t xml:space="preserve">Hasil memenuhi target (≥ 6x per tahun (industry-dependent)). Trend stabil atau membaik.</w:t></w:r></w:p></w:tc><w:tc><w:tcPr><w:tcW w:w="3500" w:type="dxa"/><w:vAlign w:val="top"/><w:noWrap/></w:tcPr><w:p><w:pPr/><w:r><w:rPr/><w:t xml:space="preserve">Pertahankan praktik baik. Dokumentasikan SOP dan transfer ke unit / shift lain.</w:t></w:r></w:p></w:tc></w:tr><w:tr><w:trPr/><w:tc><w:tcPr><w:tcW w:w="1800" w:type="dxa"/><w:vAlign w:val="center"/><w:shd w:val="clear" w:fill="DCFCE7"/><w:noWrap/></w:tcPr><w:p><w:pPr/><w:r><w:rPr><w:color w:val="166534"/><w:b w:val="1"/><w:bCs w:val="1"/></w:rPr><w:t xml:space="preserve">Excellent</w:t></w:r></w:p></w:tc><w:tc><w:tcPr><w:tcW w:w="3700" w:type="dxa"/><w:vAlign w:val="top"/><w:noWrap/></w:tcPr><w:p><w:pPr/><w:r><w:rPr/><w:t xml:space="preserve">Hasil konsisten melampaui target. Trend positif berlanjut.</w:t></w:r></w:p></w:tc><w:tc><w:tcPr><w:tcW w:w="3500" w:type="dxa"/><w:vAlign w:val="top"/><w:noWrap/></w:tcPr><w:p><w:pPr/><w:r><w:rPr/><w:t xml:space="preserve">Bagikan praktik baik sebagai best practice internal. Pertimbangkan stretch target.</w:t></w:r></w:p></w:tc></w:tr></w:tbl><w:p/><w:p><w:pPr/><w:r><w:rPr><w:color w:val="1A2744"/><w:sz w:val="28"/><w:szCs w:val="28"/><w:b w:val="1"/><w:bCs w:val="1"/></w:rPr><w:t xml:space="preserve">Variasi Pengukuran & Best Practice</w:t></w:r></w:p><w:tbl><w:tblGrid><w:gridCol w:w="2700" w:type="dxa"/><w:gridCol w:w="63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4" w:color="E5E7EB"/><w:left w:val="single" w:sz="4" w:color="E5E7EB"/><w:right w:val="single" w:sz="4" w:color="E5E7EB"/><w:bottom w:val="single" w:sz="4" w:color="E5E7EB"/><w:insideH w:val="single" w:sz="4" w:color="E5E7EB"/><w:insideV w:val="single" w:sz="4" w:color="E5E7EB"/></w:tblBorders></w:tblPr><w:tr><w:trPr/><w:tc><w:tcPr><w:tcW w:w="2700" w:type="dxa"/><w:vAlign w:val="center"/><w:noWrap/></w:tcPr><w:p><w:pPr/><w:r><w:rPr><w:b w:val="1"/><w:bCs w:val="1"/><w:shd w:val="clear" w:fill="FCE4EC"/></w:rPr><w:t xml:space="preserve">Dimensi</w:t></w:r></w:p></w:tc><w:tc><w:tcPr><w:tcW w:w="6300" w:type="dxa"/><w:vAlign w:val="center"/><w:noWrap/></w:tcPr><w:p><w:pPr/><w:r><w:rPr><w:b w:val="1"/><w:bCs w:val="1"/><w:shd w:val="clear" w:fill="FCE4EC"/></w:rPr><w:t xml:space="preserve">Mengapa Berguna</w:t></w:r></w:p></w:tc></w:tr><w:tr><w:trPr/><w:tc><w:tcPr><w:tcW w:w="2700" w:type="dxa"/><w:vAlign w:val="top"/><w:noWrap/></w:tcPr><w:p><w:pPr/><w:r><w:rPr><w:b w:val="1"/><w:bCs w:val="1"/></w:rPr><w:t xml:space="preserve">Per Vendor</w:t></w:r></w:p></w:tc><w:tc><w:tcPr><w:tcW w:w="6300" w:type="dxa"/><w:vAlign w:val="top"/><w:noWrap/></w:tcPr><w:p><w:pPr/><w:r><w:rPr/><w:t xml:space="preserve">Scorecard supplier — basis preferred vendor list dan kontrak negosiasi.</w:t></w:r></w:p></w:tc></w:tr><w:tr><w:trPr/><w:tc><w:tcPr><w:tcW w:w="2700" w:type="dxa"/><w:vAlign w:val="top"/><w:noWrap/></w:tcPr><w:p><w:pPr/><w:r><w:rPr><w:b w:val="1"/><w:bCs w:val="1"/></w:rPr><w:t xml:space="preserve">Per Kategori Spend</w:t></w:r></w:p></w:tc><w:tc><w:tcPr><w:tcW w:w="6300" w:type="dxa"/><w:vAlign w:val="top"/><w:noWrap/></w:tcPr><w:p><w:pPr/><w:r><w:rPr/><w:t xml:space="preserve">Direct material · Indirect · Services · Capex — strategi sourcing berbeda per kategori.</w:t></w:r></w:p></w:tc></w:tr><w:tr><w:trPr/><w:tc><w:tcPr><w:tcW w:w="2700" w:type="dxa"/><w:vAlign w:val="top"/><w:noWrap/></w:tcPr><w:p><w:pPr/><w:r><w:rPr><w:b w:val="1"/><w:bCs w:val="1"/></w:rPr><w:t xml:space="preserve">Per Region / BU</w:t></w:r></w:p></w:tc><w:tc><w:tcPr><w:tcW w:w="6300" w:type="dxa"/><w:vAlign w:val="top"/><w:noWrap/></w:tcPr><w:p><w:pPr/><w:r><w:rPr/><w:t xml:space="preserve">Operations multi-site sering punya kebutuhan dan price reference berbeda per region.</w:t></w:r></w:p></w:tc></w:tr><w:tr><w:trPr/><w:tc><w:tcPr><w:tcW w:w="2700" w:type="dxa"/><w:vAlign w:val="top"/><w:noWrap/></w:tcPr><w:p><w:pPr/><w:r><w:rPr><w:b w:val="1"/><w:bCs w:val="1"/></w:rPr><w:t xml:space="preserve">Annual vs Spot Buy</w:t></w:r></w:p></w:tc><w:tc><w:tcPr><w:tcW w:w="6300" w:type="dxa"/><w:vAlign w:val="top"/><w:noWrap/></w:tcPr><w:p><w:pPr/><w:r><w:rPr/><w:t xml:space="preserve">Beda risiko & harga; tracking terpisah memperjelas leverage kontrak tahunan.</w:t></w:r></w:p></w:tc></w:tr></w:tbl><w:p/><w:p><w:pPr/><w:r><w:rPr><w:color w:val="1A2744"/><w:sz w:val="28"/><w:szCs w:val="28"/><w:b w:val="1"/><w:bCs w:val="1"/></w:rPr><w:t xml:space="preserve">Kesalahan Umum & Solusinya</w:t></w:r></w:p><w:tbl><w:tblGrid><w:gridCol w:w="4300" w:type="dxa"/><w:gridCol w:w="47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4" w:color="E5E7EB"/><w:left w:val="single" w:sz="4" w:color="E5E7EB"/><w:right w:val="single" w:sz="4" w:color="E5E7EB"/><w:bottom w:val="single" w:sz="4" w:color="E5E7EB"/><w:insideH w:val="single" w:sz="4" w:color="E5E7EB"/><w:insideV w:val="single" w:sz="4" w:color="E5E7EB"/></w:tblBorders></w:tblPr><w:tr><w:trPr/><w:tc><w:tcPr><w:tcW w:w="4300" w:type="dxa"/><w:vAlign w:val="center"/><w:noWrap/></w:tcPr><w:p><w:pPr/><w:r><w:rPr><w:b w:val="1"/><w:bCs w:val="1"/><w:shd w:val="clear" w:fill="FCE4EC"/></w:rPr><w:t xml:space="preserve">Kesalahan</w:t></w:r></w:p></w:tc><w:tc><w:tcPr><w:tcW w:w="4700" w:type="dxa"/><w:vAlign w:val="center"/><w:noWrap/></w:tcPr><w:p><w:pPr/><w:r><w:rPr><w:b w:val="1"/><w:bCs w:val="1"/><w:shd w:val="clear" w:fill="FCE4EC"/></w:rPr><w:t xml:space="preserve">Solusi</w:t></w:r></w:p></w:tc></w:tr><w:tr><w:trPr/><w:tc><w:tcPr><w:tcW w:w="4300" w:type="dxa"/><w:vAlign w:val="top"/><w:noWrap/></w:tcPr><w:p><w:pPr/><w:r><w:rPr/><w:t xml:space="preserve">Kompare harga tanpa total cost of ownership (TCO)</w:t></w:r></w:p></w:tc><w:tc><w:tcPr><w:tcW w:w="4700" w:type="dxa"/><w:vAlign w:val="top"/><w:noWrap/></w:tcPr><w:p><w:pPr/><w:r><w:rPr/><w:t xml:space="preserve">TCO = harga + delivery + quality + warranty + downtime risk.</w:t></w:r></w:p></w:tc></w:tr><w:tr><w:trPr/><w:tc><w:tcPr><w:tcW w:w="4300" w:type="dxa"/><w:vAlign w:val="top"/><w:noWrap/></w:tcPr><w:p><w:pPr/><w:r><w:rPr/><w:t xml:space="preserve">Single-vendor dependency tinggi untuk item kritikal</w:t></w:r></w:p></w:tc><w:tc><w:tcPr><w:tcW w:w="4700" w:type="dxa"/><w:vAlign w:val="top"/><w:noWrap/></w:tcPr><w:p><w:pPr/><w:r><w:rPr/><w:t xml:space="preserve">Minimum 2 qualified vendor untuk item top-spend; rotate.</w:t></w:r></w:p></w:tc></w:tr><w:tr><w:trPr/><w:tc><w:tcPr><w:tcW w:w="4300" w:type="dxa"/><w:vAlign w:val="top"/><w:noWrap/></w:tcPr><w:p><w:pPr/><w:r><w:rPr/><w:t xml:space="preserve">Negosiasi sekali, tidak di-review ulang</w:t></w:r></w:p></w:tc><w:tc><w:tcPr><w:tcW w:w="4700" w:type="dxa"/><w:vAlign w:val="top"/><w:noWrap/></w:tcPr><w:p><w:pPr/><w:r><w:rPr/><w:t xml:space="preserve">Re-bid kontrak strategis tiap 2–3 tahun; market price berubah.</w:t></w:r></w:p></w:tc></w:tr><w:tr><w:trPr/><w:tc><w:tcPr><w:tcW w:w="4300" w:type="dxa"/><w:vAlign w:val="top"/><w:noWrap/></w:tcPr><w:p><w:pPr/><w:r><w:rPr/><w:t xml:space="preserve">Maverick spend tidak terkontrol (procurement bypass)</w:t></w:r></w:p></w:tc><w:tc><w:tcPr><w:tcW w:w="4700" w:type="dxa"/><w:vAlign w:val="top"/><w:noWrap/></w:tcPr><w:p><w:pPr/><w:r><w:rPr/><w:t xml:space="preserve">Tighten approval threshold + e-procurement workflow.</w:t></w:r></w:p></w:tc></w:tr><w:tr><w:trPr/><w:tc><w:tcPr><w:tcW w:w="4300" w:type="dxa"/><w:vAlign w:val="top"/><w:noWrap/></w:tcPr><w:p><w:pPr/><w:r><w:rPr/><w:t xml:space="preserve">Vendor scorecard subjektif tanpa data</w:t></w:r></w:p></w:tc><w:tc><w:tcPr><w:tcW w:w="4700" w:type="dxa"/><w:vAlign w:val="top"/><w:noWrap/></w:tcPr><w:p><w:pPr/><w:r><w:rPr/><w:t xml:space="preserve">Berbasis hard metrics: OTD, defect PPM, response time, audit findings.</w:t></w:r></w:p></w:tc></w:tr></w:tbl><w:p/><w:p><w:pPr/><w:r><w:rPr><w:color w:val="1A2744"/><w:sz w:val="28"/><w:szCs w:val="28"/><w:b w:val="1"/><w:bCs w:val="1"/></w:rPr><w:t xml:space="preserve">Tindakan Berdasarkan Status</w:t></w:r></w:p><w:p><w:pPr><w:spacing w:before="80"/></w:pPr><w:r><w:rPr><w:color w:val="991B1B"/><w:b w:val="1"/><w:bCs w:val="1"/></w:rPr><w:t xml:space="preserve">Off-target  </w:t></w:r><w:r><w:rPr><w:color w:val="6B7280"/><w:i w:val="1"/><w:iCs w:val="1"/></w:rPr><w:t xml:space="preserve">Hasil di luar target / trend memburuk</w:t></w:r></w:p><w:p><w:pPr/><w:r><w:rPr/><w:t xml:space="preserve">Emergency vendor review — ada risiko supply disruption. Aktifkan secondary supplier. Eskalasi ke CPO / CEO jika dampak ke produksi atau pengiriman.</w:t></w:r></w:p><w:p><w:pPr><w:spacing w:before="80"/></w:pPr><w:r><w:rPr><w:color w:val="92400E"/><w:b w:val="1"/><w:bCs w:val="1"/></w:rPr><w:t xml:space="preserve">Borderline  </w:t></w:r><w:r><w:rPr><w:color w:val="6B7280"/><w:i w:val="1"/><w:iCs w:val="1"/></w:rPr><w:t xml:space="preserve">Mendekati target, trend tidak konsisten</w:t></w:r></w:p><w:p><w:pPr/><w:r><w:rPr/><w:t xml:space="preserve">Vendor scorecard review tiap kuartal. Negosiasi ulang term untuk vendor under-performer. Eksplor alternative sourcing untuk item kategori prioritas.</w:t></w:r></w:p><w:p><w:pPr><w:spacing w:before="80"/></w:pPr><w:r><w:rPr><w:color w:val="166534"/><w:b w:val="1"/><w:bCs w:val="1"/></w:rPr><w:t xml:space="preserve">On-target / Excellent  </w:t></w:r><w:r><w:rPr><w:color w:val="6B7280"/><w:i w:val="1"/><w:iCs w:val="1"/></w:rPr><w:t xml:space="preserve">Memenuhi atau melampaui target</w:t></w:r></w:p><w:p><w:pPr/><w:r><w:rPr/><w:t xml:space="preserve">Konsolidasi vendor base — long-term partnership dengan top vendor. Joint cost reduction program (value engineering, design-to-cost) dengan strategic partner.</w:t></w:r></w:p><w:p/><w:p><w:pPr/><w:r><w:rPr><w:color w:val="1A2744"/><w:sz w:val="28"/><w:szCs w:val="28"/><w:b w:val="1"/><w:bCs w:val="1"/></w:rPr><w:t xml:space="preserve">KPI Pendamping</w:t></w:r></w:p><w:p><w:pPr/><w:r><w:rPr/><w:t xml:space="preserve">KPI ini sebaiknya tidak berdiri sendiri. Padukan dengan KPI lain di kategori yang sama:</w:t></w:r></w:p><w:p><w:pPr/><w:r><w:rPr><w:color w:val="1A2744"/><w:b w:val="1"/><w:bCs w:val="1"/></w:rPr><w:t xml:space="preserve">KPI Cost Saving from Procurement</w:t></w:r><w:r><w:rPr><w:color w:val="6B7280"/><w:sz w:val="18"/><w:szCs w:val="18"/></w:rPr><w:t xml:space="preserve"> — Penghematan biaya pengadaan dibanding harga referensi / sebelumnya.</w:t></w:r></w:p><w:p><w:pPr/><w:r><w:rPr><w:color w:val="1A2744"/><w:b w:val="1"/><w:bCs w:val="1"/></w:rPr><w:t xml:space="preserve">KPI PO Accuracy Rate</w:t></w:r><w:r><w:rPr><w:color w:val="6B7280"/><w:sz w:val="18"/><w:szCs w:val="18"/></w:rPr><w:t xml:space="preserve"> — Persentase PO yang dibuat tanpa error atau revisi.</w:t></w:r></w:p><w:p><w:pPr/><w:r><w:rPr><w:color w:val="1A2744"/><w:b w:val="1"/><w:bCs w:val="1"/></w:rPr><w:t xml:space="preserve">KPI Supplier Defect Rate</w:t></w:r><w:r><w:rPr><w:color w:val="6B7280"/><w:sz w:val="18"/><w:szCs w:val="18"/></w:rPr><w:t xml:space="preserve"> — Persentase barang dari supplier yang cacat saat diterima.</w:t></w:r></w:p><w:p><w:pPr/><w:r><w:rPr><w:color w:val="1A2744"/><w:b w:val="1"/><w:bCs w:val="1"/></w:rPr><w:t xml:space="preserve">KPI Spend Under Management</w:t></w:r><w:r><w:rPr><w:color w:val="6B7280"/><w:sz w:val="18"/><w:szCs w:val="18"/></w:rPr><w:t xml:space="preserve"> — Persentase pengeluaran perusahaan yang dikelola via kontrak / proses procurement resmi.</w:t></w:r></w:p><w:p/><w:p><w:pPr/><w:r><w:rPr><w:color w:val="1A2744"/><w:sz w:val="28"/><w:szCs w:val="28"/><w:b w:val="1"/><w:bCs w:val="1"/></w:rPr><w:t xml:space="preserve">Checklist Implementasi</w:t></w:r></w:p><w:p><w:pPr><w:numPr><w:ilvl w:val="0"/><w:numId w:val="1"/></w:numPr></w:pPr><w:r><w:rPr/><w:t xml:space="preserve">Tetapkan baseline. Ukur 1–2 periode sebelum set target — jangan langsung set target ambisius tanpa tahu starting point.</w:t></w:r></w:p><w:p><w:pPr><w:numPr><w:ilvl w:val="0"/><w:numId w:val="1"/></w:numPr></w:pPr><w:r><w:rPr/><w:t xml:space="preserve">Definisikan formula tertulis. Tuliskan rumus, sumber data, exclusion rule di glossarium yang dapat diakses tim.</w:t></w:r></w:p><w:p><w:pPr><w:numPr><w:ilvl w:val="0"/><w:numId w:val="1"/></w:numPr></w:pPr><w:r><w:rPr/><w:t xml:space="preserve">Otomatisasi pengumpulan data. Manual entry = rentan error & delay. Pakai sistem sumber otoritatif dengan ETL / sync rutin.</w:t></w:r></w:p><w:p><w:pPr><w:numPr><w:ilvl w:val="0"/><w:numId w:val="1"/></w:numPr></w:pPr><w:r><w:rPr/><w:t xml:space="preserve">Set cadence review. Frekuensi pengukuran = Bulanan. Pastikan ada slot rapat rutin untuk membahas hasil dan action plan.</w:t></w:r></w:p><w:p><w:pPr><w:numPr><w:ilvl w:val="0"/><w:numId w:val="1"/></w:numPr></w:pPr><w:r><w:rPr/><w:t xml:space="preserve">Action SLA. Setiap deviasi > threshold tertentu harus memicu action plan. Tanpa SLA = monitoring tanpa improvement.</w:t></w:r></w:p><w:p><w:pPr><w:numPr><w:ilvl w:val="0"/><w:numId w:val="1"/></w:numPr></w:pPr><w:r><w:rPr/><w:t xml:space="preserve">Komunikasikan ke tim. Bagikan hasil + tindakan yang akan diambil. Karyawan yang tahu konteks lebih engaged dan kolaboratif.</w:t></w:r></w:p><w:p><w:pPr><w:numPr><w:ilvl w:val="0"/><w:numId w:val="1"/></w:numPr></w:pPr><w:r><w:rPr/><w:t xml:space="preserve">Iterasi target tahunan. Target tahun lalu mungkin tidak relevan tahun ini. Adjust ke realitas bisnis saat strategic planning.</w:t></w:r></w:p><w:p/><w:p><w:pPr><w:spacing w:before="200"/></w:pPr><w:r><w:rPr><w:color w:val="701A75"/><w:i w:val="1"/><w:iCs w:val="1"/></w:rPr><w:t xml:space="preserve">Tools: Tools rekomendasi: Excel + e-mail workflow untuk small business. Skala menengah: Coupa, SAP Ariba, atau Mekari Procurement. Enterprise: full S2P suite (Source-to-Pay) terintegrasi ERP & supplier portal.</w:t></w:r></w:p><w:sectPr><w:footerReference w:type="default" r:id="rId7"/><w:pgSz w:orient="portrait" w:w="11905.511811023622" w:h="16837.79527559055"/><w:pgMar w:top="1134" w:right="1134" w:bottom="1134" w:left="1134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CA3AF"/>
        <w:sz w:val="16"/>
        <w:szCs w:val="16"/>
      </w:rPr>
      <w:t xml:space="preserve">KPI-0068 · 22/04/2026 · GajiHub KPI — kpi.gajihub.com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BBDF0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2026-05-07T13:19:11+00:00</dcterms:created>
  <dcterms:modified xsi:type="dcterms:W3CDTF">2026-05-07T13:19:11+00:00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