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Pengadaan</w:t></w:r></w:p><w:p><w:pPr><w:jc w:val="center"/><w:spacing w:after="100"/></w:pPr><w:r><w:rPr><w:color w:val="1A2744"/><w:sz w:val="36"/><w:szCs w:val="36"/><w:b w:val="1"/><w:bCs w:val="1"/></w:rPr><w:t xml:space="preserve">KPI Vendor Lead Time</w:t></w:r></w:p><w:p><w:pPr><w:jc w:val="center"/></w:pPr><w:r><w:rPr><w:color w:val="4B5563"/><w:i w:val="1"/><w:iCs w:val="1"/></w:rPr><w:t xml:space="preserve">Rata-rata waktu antara PO dan barang diterima dari vendor.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Tanggal Terima Barang − Tanggal PO Release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Hari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order / Bulanan agregat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Sesuai komitmen vendor; trend turun + variance kecil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Procurement / Vendor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 procurement module, e-procurement, contract management, vendor scorecard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Vendor Lead Time adalah elapsed time dari PO dirilis hingga barang fisik diterima. Berbeda dengan procurement cycle time (yang internal). Stabil dan pendek = perencanaan stok lebih akurat dan safety stock bisa lebih ramping.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efisiensi & efektivitas tim procurement dalam mengelola spend perusahaan.</w:t></w:r></w:p><w:p><w:pPr><w:numPr><w:ilvl w:val="0"/><w:numId w:val="1"/></w:numPr></w:pPr><w:r><w:rPr/><w:t xml:space="preserve">Berdampak langsung ke COGS, working capital, dan kontinuitas supply chain.</w:t></w:r></w:p><w:p><w:pPr><w:numPr><w:ilvl w:val="0"/><w:numId w:val="1"/></w:numPr></w:pPr><w:r><w:rPr/><w:t xml:space="preserve">Indikator kesehatan vendor base — early warning supplier risk (default, kualitas, lead time).</w:t></w:r></w:p><w:p><w:pPr><w:numPr><w:ilvl w:val="0"/><w:numId w:val="1"/></w:numPr></w:pPr><w:r><w:rPr/><w:t xml:space="preserve">Bahan supplier scorecard dan rationalization yang menentukan preferred vendor list.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order / Bulanan agregat).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Tanggal Terima Barang − Tanggal PO Release.</w:t></w:r></w:p><w:p><w:pPr><w:numPr><w:ilvl w:val="0"/><w:numId w:val="1"/></w:numPr></w:pPr><w:r><w:rPr/><w:t xml:space="preserve">Bandingkan hasil dengan target Sesuai komitmen vendor; trend turun + variance kecil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50 transaksi periode tertentu rata-rata interval = 18 hari kalender. Bandingkan dengan target Sesuai komitmen vendor; trend turun + variance kecil. Selain rata-rata, pantau juga p90/p95 — outlier sering jadi sumber komplain.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(Sesuai komitmen vendor; trend turun + variance kecil).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(Sesuai komitmen vendor; trend turun + variance kecil).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Vendor</w:t></w:r></w:p></w:tc><w:tc><w:tcPr><w:tcW w:w="6300" w:type="dxa"/><w:vAlign w:val="top"/><w:noWrap/></w:tcPr><w:p><w:pPr/><w:r><w:rPr/><w:t xml:space="preserve">Scorecard supplier — basis preferred vendor list dan kontrak negosiasi.</w:t></w:r></w:p></w:tc></w:tr><w:tr><w:trPr/><w:tc><w:tcPr><w:tcW w:w="2700" w:type="dxa"/><w:vAlign w:val="top"/><w:noWrap/></w:tcPr><w:p><w:pPr/><w:r><w:rPr><w:b w:val="1"/><w:bCs w:val="1"/></w:rPr><w:t xml:space="preserve">Per Kategori Spend</w:t></w:r></w:p></w:tc><w:tc><w:tcPr><w:tcW w:w="6300" w:type="dxa"/><w:vAlign w:val="top"/><w:noWrap/></w:tcPr><w:p><w:pPr/><w:r><w:rPr/><w:t xml:space="preserve">Direct material · Indirect · Services · Capex — strategi sourcing berbeda per kategori.</w:t></w:r></w:p></w:tc></w:tr><w:tr><w:trPr/><w:tc><w:tcPr><w:tcW w:w="2700" w:type="dxa"/><w:vAlign w:val="top"/><w:noWrap/></w:tcPr><w:p><w:pPr/><w:r><w:rPr><w:b w:val="1"/><w:bCs w:val="1"/></w:rPr><w:t xml:space="preserve">Per Region / BU</w:t></w:r></w:p></w:tc><w:tc><w:tcPr><w:tcW w:w="6300" w:type="dxa"/><w:vAlign w:val="top"/><w:noWrap/></w:tcPr><w:p><w:pPr/><w:r><w:rPr/><w:t xml:space="preserve">Operations multi-site sering punya kebutuhan dan price reference berbeda per region.</w:t></w:r></w:p></w:tc></w:tr><w:tr><w:trPr/><w:tc><w:tcPr><w:tcW w:w="2700" w:type="dxa"/><w:vAlign w:val="top"/><w:noWrap/></w:tcPr><w:p><w:pPr/><w:r><w:rPr><w:b w:val="1"/><w:bCs w:val="1"/></w:rPr><w:t xml:space="preserve">Annual vs Spot Buy</w:t></w:r></w:p></w:tc><w:tc><w:tcPr><w:tcW w:w="6300" w:type="dxa"/><w:vAlign w:val="top"/><w:noWrap/></w:tcPr><w:p><w:pPr/><w:r><w:rPr/><w:t xml:space="preserve">Beda risiko & harga; tracking terpisah memperjelas leverage kontrak tahunan.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Kompare harga tanpa total cost of ownership (TCO)</w:t></w:r></w:p></w:tc><w:tc><w:tcPr><w:tcW w:w="4700" w:type="dxa"/><w:vAlign w:val="top"/><w:noWrap/></w:tcPr><w:p><w:pPr/><w:r><w:rPr/><w:t xml:space="preserve">TCO = harga + delivery + quality + warranty + downtime risk.</w:t></w:r></w:p></w:tc></w:tr><w:tr><w:trPr/><w:tc><w:tcPr><w:tcW w:w="4300" w:type="dxa"/><w:vAlign w:val="top"/><w:noWrap/></w:tcPr><w:p><w:pPr/><w:r><w:rPr/><w:t xml:space="preserve">Single-vendor dependency tinggi untuk item kritikal</w:t></w:r></w:p></w:tc><w:tc><w:tcPr><w:tcW w:w="4700" w:type="dxa"/><w:vAlign w:val="top"/><w:noWrap/></w:tcPr><w:p><w:pPr/><w:r><w:rPr/><w:t xml:space="preserve">Minimum 2 qualified vendor untuk item top-spend; rotate.</w:t></w:r></w:p></w:tc></w:tr><w:tr><w:trPr/><w:tc><w:tcPr><w:tcW w:w="4300" w:type="dxa"/><w:vAlign w:val="top"/><w:noWrap/></w:tcPr><w:p><w:pPr/><w:r><w:rPr/><w:t xml:space="preserve">Negosiasi sekali, tidak di-review ulang</w:t></w:r></w:p></w:tc><w:tc><w:tcPr><w:tcW w:w="4700" w:type="dxa"/><w:vAlign w:val="top"/><w:noWrap/></w:tcPr><w:p><w:pPr/><w:r><w:rPr/><w:t xml:space="preserve">Re-bid kontrak strategis tiap 2–3 tahun; market price berubah.</w:t></w:r></w:p></w:tc></w:tr><w:tr><w:trPr/><w:tc><w:tcPr><w:tcW w:w="4300" w:type="dxa"/><w:vAlign w:val="top"/><w:noWrap/></w:tcPr><w:p><w:pPr/><w:r><w:rPr/><w:t xml:space="preserve">Maverick spend tidak terkontrol (procurement bypass)</w:t></w:r></w:p></w:tc><w:tc><w:tcPr><w:tcW w:w="4700" w:type="dxa"/><w:vAlign w:val="top"/><w:noWrap/></w:tcPr><w:p><w:pPr/><w:r><w:rPr/><w:t xml:space="preserve">Tighten approval threshold + e-procurement workflow.</w:t></w:r></w:p></w:tc></w:tr><w:tr><w:trPr/><w:tc><w:tcPr><w:tcW w:w="4300" w:type="dxa"/><w:vAlign w:val="top"/><w:noWrap/></w:tcPr><w:p><w:pPr/><w:r><w:rPr/><w:t xml:space="preserve">Vendor scorecard subjektif tanpa data</w:t></w:r></w:p></w:tc><w:tc><w:tcPr><w:tcW w:w="4700" w:type="dxa"/><w:vAlign w:val="top"/><w:noWrap/></w:tcPr><w:p><w:pPr/><w:r><w:rPr/><w:t xml:space="preserve">Berbasis hard metrics: OTD, defect PPM, response time, audit findings.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Emergency vendor review — ada risiko supply disruption. Aktifkan secondary supplier. Eskalasi ke CPO / CEO jika dampak ke produksi atau pengiriman.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Vendor scorecard review tiap kuartal. Negosiasi ulang term untuk vendor under-performer. Eksplor alternative sourcing untuk item kategori prioritas.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vendor base — long-term partnership dengan top vendor. Joint cost reduction program (value engineering, design-to-cost) dengan strategic partner.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Purchase Price Variance (PPV)</w:t></w:r><w:r><w:rPr><w:color w:val="6B7280"/><w:sz w:val="18"/><w:szCs w:val="18"/></w:rPr><w:t xml:space="preserve"> — Selisih harga aktual pembelian vs harga standar / anggaran.</w:t></w:r></w:p><w:p><w:pPr/><w:r><w:rPr><w:color w:val="1A2744"/><w:b w:val="1"/><w:bCs w:val="1"/></w:rPr><w:t xml:space="preserve">KPI Supplier Defect Rate</w:t></w:r><w:r><w:rPr><w:color w:val="6B7280"/><w:sz w:val="18"/><w:szCs w:val="18"/></w:rPr><w:t xml:space="preserve"> — Persentase barang dari supplier yang cacat saat diterima.</w:t></w:r></w:p><w:p><w:pPr/><w:r><w:rPr><w:color w:val="1A2744"/><w:b w:val="1"/><w:bCs w:val="1"/></w:rPr><w:t xml:space="preserve">KPI Inventory Turnover</w:t></w:r><w:r><w:rPr><w:color w:val="6B7280"/><w:sz w:val="18"/><w:szCs w:val="18"/></w:rPr><w:t xml:space="preserve"> — Berapa kali inventory di-turn-over (terjual & diganti) per periode.</w:t></w:r></w:p><w:p><w:pPr/><w:r><w:rPr><w:color w:val="1A2744"/><w:b w:val="1"/><w:bCs w:val="1"/></w:rPr><w:t xml:space="preserve">KPI Spend Under Management</w:t></w:r><w:r><w:rPr><w:color w:val="6B7280"/><w:sz w:val="18"/><w:szCs w:val="18"/></w:rPr><w:t xml:space="preserve"> — Persentase pengeluaran perusahaan yang dikelola via kontrak / proses procurement resmi.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order / Bulanan agregat.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e-mail workflow untuk small business. Skala menengah: Coupa, SAP Ariba, atau Mekari Procurement. Enterprise: full S2P suite (Source-to-Pay) terintegrasi ERP & supplier portal.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KPI-0069 · 12/02/2026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E5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2026-05-07T13:19:15+00:00</dcterms:created>
  <dcterms:modified xsi:type="dcterms:W3CDTF">2026-05-07T13:19:15+00:00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