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Total Recordable Incident Rate (TRIR)</w:t></w:r></w:p><w:p><w:pPr><w:jc w:val="center"/></w:pPr><w:r><w:rPr><w:color w:val="4B5563"/><w:i w:val="1"/><w:iCs w:val="1"/></w:rPr><w:t xml:space="preserve">Tingkat insiden K3 tercatat per 200,000 jam kerja.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(Total Insiden Recordable × 200,000) / Total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Insiden per 200K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& 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1.0 (industry-dependent; manufaktur < 3.0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HSE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TRIR menghitung total insiden recordable (yang memerlukan medical treatment di luar first-aid, days away, restricted, atau fatality) dinormalisasi per 200,000 jam kerja (≈ 100 karyawan full-time setahun). Standar OSHA dan benchmarking lintas perusahaan.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& 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(Total Insiden Recordable × 200,000) / Total Jam Kerja.</w:t></w:r></w:p><w:p><w:pPr><w:numPr><w:ilvl w:val="0"/><w:numId w:val="1"/></w:numPr></w:pPr><w:r><w:rPr/><w:t xml:space="preserve">Bandingkan hasil dengan target < 1.0 (industry-dependent; manufaktur < 3.0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< 1.0 (industry-dependent; manufaktur < 3.0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1.0 (industry-dependent; manufaktur < 3.0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1.0 (industry-dependent; manufaktur < 3.0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Kebakaran per Tahun</w:t></w:r><w:r><w:rPr><w:color w:val="6B7280"/><w:sz w:val="18"/><w:szCs w:val="18"/></w:rPr><w:t xml:space="preserve"> — Jumlah insiden kebakaran termasuk near miss kebakaran.</w:t></w:r></w:p><w:p><w:pPr/><w:r><w:rPr><w:color w:val="1A2744"/><w:b w:val="1"/><w:bCs w:val="1"/></w:rPr><w:t xml:space="preserve">KPI Near Miss Reporting Rate</w:t></w:r><w:r><w:rPr><w:color w:val="6B7280"/><w:sz w:val="18"/><w:szCs w:val="18"/></w:rPr><w:t xml:space="preserve"> — Jumlah laporan near miss per periode — proactive safety indicator.</w:t></w:r></w:p><w:p><w:pPr/><w:r><w:rPr><w:color w:val="1A2744"/><w:b w:val="1"/><w:bCs w:val="1"/></w:rPr><w:t xml:space="preserve">KPI Tingkat Kepatuhan APD</w:t></w:r><w:r><w:rPr><w:color w:val="6B7280"/><w:sz w:val="18"/><w:szCs w:val="18"/></w:rPr><w:t xml:space="preserve"> — Persentase karyawan yang menggunakan Alat Pelindung Diri sesuai prosedur.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&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KPI-0081 · 22/02/2026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6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2026-05-07T13:19:40+00:00</dcterms:created>
  <dcterms:modified xsi:type="dcterms:W3CDTF">2026-05-07T13:19:40+00:00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