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Insiden Kebakaran per Tahun</w:t></w:r></w:p><w:p><w:pPr><w:jc w:val="center"/></w:pPr><w:r><w:rPr><w:color w:val="4B5563"/><w:i w:val="1"/><w:iCs w:val="1"/></w:rPr><w:t xml:space="preserve">Jumlah insiden kebakaran termasuk near miss kebakaran.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Hitung Insiden Kebakaran (per severity)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Jumlah insiden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0 insiden serius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Fire Safety Officer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KPI risiko spesifik untuk fasilitas: jumlah insiden kebakaran (api yang harus dipadamkan, termasuk APAR usage) dan near miss (smoke detector aktif tanpa api). Digunakan untuk evaluasi sistem proteksi kebakaran.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Hitung Insiden Kebakaran (per severity).</w:t></w:r></w:p><w:p><w:pPr><w:numPr><w:ilvl w:val="0"/><w:numId w:val="1"/></w:numPr></w:pPr><w:r><w:rPr/><w:t xml:space="preserve">Bandingkan hasil dengan target 0 insiden serius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0 insiden serius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(0 insiden serius).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(0 insiden serius).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Audit K3 Compliance Rate</w:t></w:r><w:r><w:rPr><w:color w:val="6B7280"/><w:sz w:val="18"/><w:szCs w:val="18"/></w:rPr><w:t xml:space="preserve"> — Persentase temuan audit K3 yang ditindaklanjuti dalam jangka waktu.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><w:pPr/><w:r><w:rPr><w:color w:val="1A2744"/><w:b w:val="1"/><w:bCs w:val="1"/></w:rPr><w:t xml:space="preserve">KPI Near Miss Reporting Rate</w:t></w:r><w:r><w:rPr><w:color w:val="6B7280"/><w:sz w:val="18"/><w:szCs w:val="18"/></w:rPr><w:t xml:space="preserve"> — Jumlah laporan near miss per periode — proactive safety indicator.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KPI-0089 · 04/05/2026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D2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2026-05-07T13:19:57+00:00</dcterms:created>
  <dcterms:modified xsi:type="dcterms:W3CDTF">2026-05-07T13:19:57+00:00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